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C7" w:rsidRPr="000E1B45" w:rsidRDefault="00F619C7" w:rsidP="00F619C7">
      <w:pPr>
        <w:pStyle w:val="Title"/>
        <w:pBdr>
          <w:top w:val="single" w:sz="24" w:space="1" w:color="auto"/>
          <w:left w:val="single" w:sz="24" w:space="4" w:color="auto"/>
          <w:bottom w:val="single" w:sz="24" w:space="1" w:color="auto"/>
          <w:right w:val="single" w:sz="24" w:space="4" w:color="auto"/>
        </w:pBdr>
        <w:rPr>
          <w:color w:val="000000"/>
          <w:sz w:val="36"/>
          <w:szCs w:val="36"/>
        </w:rPr>
      </w:pPr>
      <w:bookmarkStart w:id="0" w:name="_GoBack"/>
      <w:bookmarkEnd w:id="0"/>
    </w:p>
    <w:p w:rsidR="00F619C7" w:rsidRPr="000E1B45" w:rsidRDefault="00F619C7" w:rsidP="00F619C7">
      <w:pPr>
        <w:pStyle w:val="Title"/>
        <w:pBdr>
          <w:top w:val="single" w:sz="24" w:space="1" w:color="auto"/>
          <w:left w:val="single" w:sz="24" w:space="4" w:color="auto"/>
          <w:bottom w:val="single" w:sz="24" w:space="1" w:color="auto"/>
          <w:right w:val="single" w:sz="24" w:space="4" w:color="auto"/>
        </w:pBdr>
        <w:outlineLvl w:val="0"/>
        <w:rPr>
          <w:rFonts w:ascii="Arial" w:hAnsi="Arial" w:cs="Arial"/>
          <w:color w:val="000000"/>
          <w:sz w:val="36"/>
          <w:szCs w:val="36"/>
        </w:rPr>
      </w:pPr>
      <w:r w:rsidRPr="000E1B45">
        <w:rPr>
          <w:rFonts w:ascii="Arial" w:hAnsi="Arial" w:cs="Arial"/>
          <w:color w:val="000000"/>
          <w:sz w:val="36"/>
          <w:szCs w:val="36"/>
        </w:rPr>
        <w:t>State Council of Higher Education for Virginia</w:t>
      </w:r>
    </w:p>
    <w:p w:rsidR="00F619C7" w:rsidRPr="000E1B45" w:rsidRDefault="00F619C7" w:rsidP="00F619C7">
      <w:pPr>
        <w:pStyle w:val="Title"/>
        <w:pBdr>
          <w:top w:val="single" w:sz="24" w:space="1" w:color="auto"/>
          <w:left w:val="single" w:sz="24" w:space="4" w:color="auto"/>
          <w:bottom w:val="single" w:sz="24" w:space="1" w:color="auto"/>
          <w:right w:val="single" w:sz="24" w:space="4" w:color="auto"/>
        </w:pBdr>
        <w:outlineLvl w:val="0"/>
        <w:rPr>
          <w:rFonts w:ascii="Arial" w:hAnsi="Arial" w:cs="Arial"/>
          <w:color w:val="000000"/>
          <w:sz w:val="36"/>
          <w:szCs w:val="36"/>
        </w:rPr>
      </w:pPr>
      <w:r w:rsidRPr="000E1B45">
        <w:rPr>
          <w:rFonts w:ascii="Arial" w:hAnsi="Arial" w:cs="Arial"/>
          <w:color w:val="000000"/>
          <w:sz w:val="36"/>
          <w:szCs w:val="36"/>
        </w:rPr>
        <w:t>Agenda Item</w:t>
      </w:r>
    </w:p>
    <w:p w:rsidR="00F619C7" w:rsidRPr="000E1B45" w:rsidRDefault="00F619C7" w:rsidP="00F619C7">
      <w:pPr>
        <w:pStyle w:val="Title"/>
        <w:pBdr>
          <w:top w:val="single" w:sz="24" w:space="1" w:color="auto"/>
          <w:left w:val="single" w:sz="24" w:space="4" w:color="auto"/>
          <w:bottom w:val="single" w:sz="24" w:space="1" w:color="auto"/>
          <w:right w:val="single" w:sz="24" w:space="4" w:color="auto"/>
        </w:pBdr>
        <w:jc w:val="both"/>
        <w:rPr>
          <w:rFonts w:ascii="Arial" w:hAnsi="Arial" w:cs="Arial"/>
          <w:color w:val="000000"/>
        </w:rPr>
      </w:pPr>
    </w:p>
    <w:p w:rsidR="00C86E4C" w:rsidRDefault="00F619C7" w:rsidP="00F619C7">
      <w:pPr>
        <w:pStyle w:val="Title"/>
        <w:pBdr>
          <w:top w:val="single" w:sz="24" w:space="1" w:color="auto"/>
          <w:left w:val="single" w:sz="24" w:space="4" w:color="auto"/>
          <w:bottom w:val="single" w:sz="24" w:space="1" w:color="auto"/>
          <w:right w:val="single" w:sz="24" w:space="4" w:color="auto"/>
        </w:pBdr>
        <w:tabs>
          <w:tab w:val="left" w:pos="720"/>
        </w:tabs>
        <w:ind w:left="720" w:hanging="720"/>
        <w:jc w:val="left"/>
        <w:outlineLvl w:val="0"/>
        <w:rPr>
          <w:rFonts w:ascii="Arial" w:hAnsi="Arial" w:cs="Arial"/>
          <w:color w:val="000000"/>
        </w:rPr>
      </w:pPr>
      <w:r w:rsidRPr="000E1B45">
        <w:rPr>
          <w:rFonts w:ascii="Arial" w:hAnsi="Arial" w:cs="Arial"/>
          <w:b/>
          <w:bCs/>
          <w:color w:val="000000"/>
        </w:rPr>
        <w:t>Item:</w:t>
      </w:r>
      <w:r>
        <w:rPr>
          <w:rFonts w:ascii="Arial" w:hAnsi="Arial" w:cs="Arial"/>
          <w:b/>
          <w:bCs/>
          <w:color w:val="000000"/>
        </w:rPr>
        <w:tab/>
      </w:r>
      <w:r>
        <w:rPr>
          <w:rFonts w:ascii="Arial" w:hAnsi="Arial" w:cs="Arial"/>
          <w:color w:val="auto"/>
        </w:rPr>
        <w:t>Resources and Planning</w:t>
      </w:r>
      <w:r>
        <w:rPr>
          <w:rFonts w:ascii="Arial" w:hAnsi="Arial" w:cs="Arial"/>
          <w:b/>
          <w:bCs/>
          <w:color w:val="auto"/>
        </w:rPr>
        <w:t xml:space="preserve"> </w:t>
      </w:r>
      <w:r w:rsidRPr="00FC37C6">
        <w:rPr>
          <w:rFonts w:ascii="Arial" w:hAnsi="Arial" w:cs="Arial"/>
          <w:bCs/>
          <w:color w:val="auto"/>
        </w:rPr>
        <w:t>Committee</w:t>
      </w:r>
      <w:r>
        <w:rPr>
          <w:rFonts w:ascii="Arial" w:hAnsi="Arial" w:cs="Arial"/>
          <w:bCs/>
          <w:color w:val="auto"/>
        </w:rPr>
        <w:t xml:space="preserve"> </w:t>
      </w:r>
      <w:r>
        <w:rPr>
          <w:rFonts w:ascii="Arial" w:hAnsi="Arial" w:cs="Arial"/>
          <w:color w:val="auto"/>
        </w:rPr>
        <w:t>#</w:t>
      </w:r>
      <w:r w:rsidR="007A126C">
        <w:rPr>
          <w:rFonts w:ascii="Arial" w:hAnsi="Arial" w:cs="Arial"/>
          <w:color w:val="auto"/>
        </w:rPr>
        <w:t>C</w:t>
      </w:r>
      <w:r w:rsidR="00910850">
        <w:rPr>
          <w:rFonts w:ascii="Arial" w:hAnsi="Arial" w:cs="Arial"/>
          <w:color w:val="auto"/>
        </w:rPr>
        <w:t>3</w:t>
      </w:r>
      <w:r w:rsidRPr="00D60411">
        <w:rPr>
          <w:rFonts w:ascii="Arial" w:hAnsi="Arial" w:cs="Arial"/>
          <w:color w:val="000000"/>
        </w:rPr>
        <w:t xml:space="preserve"> </w:t>
      </w:r>
      <w:r>
        <w:rPr>
          <w:rFonts w:ascii="Arial" w:hAnsi="Arial" w:cs="Arial"/>
          <w:color w:val="000000"/>
        </w:rPr>
        <w:t>–</w:t>
      </w:r>
      <w:r w:rsidRPr="00D60411">
        <w:rPr>
          <w:rFonts w:ascii="Arial" w:hAnsi="Arial" w:cs="Arial"/>
          <w:color w:val="000000"/>
        </w:rPr>
        <w:t xml:space="preserve"> </w:t>
      </w:r>
      <w:r w:rsidR="00507F61">
        <w:rPr>
          <w:rFonts w:ascii="Arial" w:hAnsi="Arial" w:cs="Arial"/>
          <w:color w:val="000000"/>
        </w:rPr>
        <w:t>Action on</w:t>
      </w:r>
      <w:r>
        <w:rPr>
          <w:rFonts w:ascii="Arial" w:hAnsi="Arial" w:cs="Arial"/>
          <w:color w:val="000000"/>
        </w:rPr>
        <w:t xml:space="preserve"> </w:t>
      </w:r>
      <w:r w:rsidR="00AD5711">
        <w:rPr>
          <w:rFonts w:ascii="Arial" w:hAnsi="Arial" w:cs="Arial"/>
          <w:color w:val="000000"/>
        </w:rPr>
        <w:t xml:space="preserve">Measures of </w:t>
      </w:r>
      <w:r>
        <w:rPr>
          <w:rFonts w:ascii="Arial" w:hAnsi="Arial" w:cs="Arial"/>
          <w:color w:val="000000"/>
        </w:rPr>
        <w:t>Institutional Performance</w:t>
      </w:r>
      <w:r>
        <w:rPr>
          <w:rFonts w:ascii="Arial" w:hAnsi="Arial" w:cs="Arial"/>
          <w:color w:val="000000"/>
        </w:rPr>
        <w:tab/>
      </w:r>
    </w:p>
    <w:p w:rsidR="00F619C7" w:rsidRPr="000E1B45" w:rsidRDefault="00F619C7" w:rsidP="00F619C7">
      <w:pPr>
        <w:pStyle w:val="Title"/>
        <w:pBdr>
          <w:top w:val="single" w:sz="24" w:space="1" w:color="auto"/>
          <w:left w:val="single" w:sz="24" w:space="4" w:color="auto"/>
          <w:bottom w:val="single" w:sz="24" w:space="1" w:color="auto"/>
          <w:right w:val="single" w:sz="24" w:space="4" w:color="auto"/>
        </w:pBdr>
        <w:tabs>
          <w:tab w:val="left" w:pos="720"/>
        </w:tabs>
        <w:ind w:left="720" w:hanging="720"/>
        <w:jc w:val="left"/>
        <w:outlineLvl w:val="0"/>
        <w:rPr>
          <w:rFonts w:ascii="Arial" w:hAnsi="Arial" w:cs="Arial"/>
          <w:color w:val="000000"/>
        </w:rPr>
      </w:pPr>
      <w:r>
        <w:rPr>
          <w:rFonts w:ascii="Arial" w:hAnsi="Arial" w:cs="Arial"/>
          <w:color w:val="000000"/>
        </w:rPr>
        <w:tab/>
      </w:r>
      <w:r w:rsidRPr="000E1B45">
        <w:rPr>
          <w:rFonts w:ascii="Arial" w:hAnsi="Arial" w:cs="Arial"/>
          <w:color w:val="000000"/>
        </w:rPr>
        <w:tab/>
      </w:r>
      <w:r w:rsidRPr="000E1B45">
        <w:rPr>
          <w:rFonts w:ascii="Arial" w:hAnsi="Arial" w:cs="Arial"/>
          <w:color w:val="000000"/>
        </w:rPr>
        <w:tab/>
      </w:r>
    </w:p>
    <w:p w:rsidR="00F619C7" w:rsidRPr="000E1B45" w:rsidRDefault="00F619C7" w:rsidP="00F619C7">
      <w:pPr>
        <w:pStyle w:val="Title"/>
        <w:pBdr>
          <w:top w:val="single" w:sz="24" w:space="1" w:color="auto"/>
          <w:left w:val="single" w:sz="24" w:space="4" w:color="auto"/>
          <w:bottom w:val="single" w:sz="24" w:space="1" w:color="auto"/>
          <w:right w:val="single" w:sz="24" w:space="4" w:color="auto"/>
        </w:pBdr>
        <w:ind w:firstLine="0"/>
        <w:jc w:val="both"/>
        <w:outlineLvl w:val="0"/>
        <w:rPr>
          <w:rFonts w:ascii="Arial" w:hAnsi="Arial" w:cs="Arial"/>
          <w:color w:val="000000"/>
        </w:rPr>
      </w:pPr>
      <w:r w:rsidRPr="000E1B45">
        <w:rPr>
          <w:rFonts w:ascii="Arial" w:hAnsi="Arial" w:cs="Arial"/>
          <w:b/>
          <w:bCs/>
          <w:color w:val="000000"/>
        </w:rPr>
        <w:t>Date of Meeting:</w:t>
      </w:r>
      <w:r w:rsidRPr="000E1B45">
        <w:rPr>
          <w:rFonts w:ascii="Arial" w:hAnsi="Arial" w:cs="Arial"/>
          <w:color w:val="000000"/>
        </w:rPr>
        <w:t xml:space="preserve"> </w:t>
      </w:r>
      <w:r w:rsidR="00507F61">
        <w:rPr>
          <w:rFonts w:ascii="Arial" w:hAnsi="Arial" w:cs="Arial"/>
          <w:color w:val="000000"/>
        </w:rPr>
        <w:t>September 17</w:t>
      </w:r>
      <w:r>
        <w:rPr>
          <w:rFonts w:ascii="Arial" w:hAnsi="Arial" w:cs="Arial"/>
          <w:color w:val="000000"/>
        </w:rPr>
        <w:t>, 201</w:t>
      </w:r>
      <w:r w:rsidR="007A126C">
        <w:rPr>
          <w:rFonts w:ascii="Arial" w:hAnsi="Arial" w:cs="Arial"/>
          <w:color w:val="000000"/>
        </w:rPr>
        <w:t>8</w:t>
      </w:r>
      <w:r w:rsidRPr="00D60411">
        <w:rPr>
          <w:rFonts w:ascii="Arial" w:hAnsi="Arial" w:cs="Arial"/>
          <w:color w:val="000000"/>
        </w:rPr>
        <w:t xml:space="preserve"> </w:t>
      </w:r>
    </w:p>
    <w:p w:rsidR="00F619C7" w:rsidRPr="000E1B45" w:rsidRDefault="00F619C7" w:rsidP="00F619C7">
      <w:pPr>
        <w:pStyle w:val="Title"/>
        <w:pBdr>
          <w:top w:val="single" w:sz="24" w:space="1" w:color="auto"/>
          <w:left w:val="single" w:sz="24" w:space="4" w:color="auto"/>
          <w:bottom w:val="single" w:sz="24" w:space="1" w:color="auto"/>
          <w:right w:val="single" w:sz="24" w:space="4" w:color="auto"/>
        </w:pBdr>
        <w:ind w:firstLine="0"/>
        <w:jc w:val="both"/>
        <w:rPr>
          <w:rFonts w:ascii="Arial" w:hAnsi="Arial" w:cs="Arial"/>
          <w:color w:val="000000"/>
        </w:rPr>
      </w:pPr>
    </w:p>
    <w:p w:rsidR="00F619C7" w:rsidRPr="000E1B45" w:rsidRDefault="00F619C7" w:rsidP="00F619C7">
      <w:pPr>
        <w:pStyle w:val="Title"/>
        <w:jc w:val="left"/>
        <w:rPr>
          <w:color w:val="000000"/>
        </w:rPr>
      </w:pPr>
    </w:p>
    <w:p w:rsidR="00C2144B" w:rsidRDefault="00F619C7" w:rsidP="00F619C7">
      <w:pPr>
        <w:pStyle w:val="Title"/>
        <w:ind w:firstLine="0"/>
        <w:jc w:val="left"/>
        <w:outlineLvl w:val="0"/>
        <w:rPr>
          <w:rFonts w:ascii="Arial" w:hAnsi="Arial" w:cs="Arial"/>
          <w:color w:val="000000"/>
        </w:rPr>
      </w:pPr>
      <w:r>
        <w:rPr>
          <w:rFonts w:ascii="Arial" w:hAnsi="Arial" w:cs="Arial"/>
          <w:b/>
          <w:bCs/>
          <w:color w:val="000000"/>
          <w:u w:val="single"/>
        </w:rPr>
        <w:t>Prese</w:t>
      </w:r>
      <w:r w:rsidRPr="000E1B45">
        <w:rPr>
          <w:rFonts w:ascii="Arial" w:hAnsi="Arial" w:cs="Arial"/>
          <w:b/>
          <w:bCs/>
          <w:color w:val="000000"/>
          <w:u w:val="single"/>
        </w:rPr>
        <w:t>n</w:t>
      </w:r>
      <w:r>
        <w:rPr>
          <w:rFonts w:ascii="Arial" w:hAnsi="Arial" w:cs="Arial"/>
          <w:b/>
          <w:bCs/>
          <w:color w:val="000000"/>
          <w:u w:val="single"/>
        </w:rPr>
        <w:t>ters</w:t>
      </w:r>
      <w:r w:rsidRPr="000E1B45">
        <w:rPr>
          <w:rFonts w:ascii="Arial" w:hAnsi="Arial" w:cs="Arial"/>
          <w:b/>
          <w:bCs/>
          <w:color w:val="000000"/>
          <w:u w:val="single"/>
        </w:rPr>
        <w:t>:</w:t>
      </w:r>
      <w:r w:rsidR="00C2144B">
        <w:rPr>
          <w:rFonts w:ascii="Arial" w:hAnsi="Arial" w:cs="Arial"/>
          <w:b/>
          <w:bCs/>
          <w:color w:val="000000"/>
        </w:rPr>
        <w:tab/>
      </w:r>
      <w:r w:rsidR="00C2144B">
        <w:rPr>
          <w:rFonts w:ascii="Arial" w:hAnsi="Arial" w:cs="Arial"/>
          <w:color w:val="000000"/>
        </w:rPr>
        <w:t>Jean Mottley</w:t>
      </w:r>
    </w:p>
    <w:p w:rsidR="00F619C7" w:rsidRDefault="00C2144B" w:rsidP="00F619C7">
      <w:pPr>
        <w:pStyle w:val="Title"/>
        <w:ind w:firstLine="0"/>
        <w:jc w:val="left"/>
        <w:outlineLvl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F619C7">
        <w:rPr>
          <w:rFonts w:ascii="Arial" w:hAnsi="Arial" w:cs="Arial"/>
          <w:color w:val="000000"/>
        </w:rPr>
        <w:t>Senior Associate for Finance Policy</w:t>
      </w:r>
    </w:p>
    <w:p w:rsidR="00F619C7" w:rsidRDefault="00F619C7" w:rsidP="00F619C7">
      <w:pPr>
        <w:pStyle w:val="Title"/>
        <w:ind w:firstLine="0"/>
        <w:jc w:val="left"/>
        <w:outlineLvl w:val="0"/>
      </w:pPr>
      <w:r>
        <w:rPr>
          <w:rFonts w:ascii="Arial" w:hAnsi="Arial" w:cs="Arial"/>
          <w:color w:val="000000"/>
        </w:rPr>
        <w:tab/>
      </w:r>
      <w:r>
        <w:rPr>
          <w:rFonts w:ascii="Arial" w:hAnsi="Arial" w:cs="Arial"/>
          <w:color w:val="000000"/>
        </w:rPr>
        <w:tab/>
      </w:r>
      <w:r>
        <w:rPr>
          <w:rFonts w:ascii="Arial" w:hAnsi="Arial" w:cs="Arial"/>
          <w:color w:val="000000"/>
        </w:rPr>
        <w:tab/>
      </w:r>
      <w:hyperlink r:id="rId9" w:history="1">
        <w:r w:rsidRPr="00563AB2">
          <w:rPr>
            <w:rStyle w:val="Hyperlink"/>
            <w:rFonts w:ascii="Arial" w:hAnsi="Arial" w:cs="Arial"/>
          </w:rPr>
          <w:t>JeanMottley@schev.edu</w:t>
        </w:r>
      </w:hyperlink>
      <w:r>
        <w:rPr>
          <w:rFonts w:ascii="Arial" w:hAnsi="Arial" w:cs="Arial"/>
          <w:color w:val="000000"/>
        </w:rPr>
        <w:t xml:space="preserve">                                                                            </w:t>
      </w:r>
    </w:p>
    <w:p w:rsidR="00F619C7" w:rsidRPr="00F66A85" w:rsidRDefault="00F619C7" w:rsidP="007A126C">
      <w:pPr>
        <w:pStyle w:val="Title"/>
        <w:ind w:firstLine="0"/>
        <w:jc w:val="left"/>
        <w:outlineLvl w:val="0"/>
        <w:rPr>
          <w:rFonts w:ascii="Arial" w:hAnsi="Arial" w:cs="Arial"/>
          <w:color w:val="000000"/>
        </w:rPr>
      </w:pPr>
      <w:r>
        <w:t xml:space="preserve">                          </w:t>
      </w:r>
    </w:p>
    <w:p w:rsidR="00F619C7" w:rsidRPr="000E1B45" w:rsidRDefault="00F619C7" w:rsidP="00F619C7">
      <w:pPr>
        <w:pStyle w:val="Title"/>
        <w:ind w:firstLine="0"/>
        <w:jc w:val="both"/>
        <w:outlineLvl w:val="0"/>
        <w:rPr>
          <w:rFonts w:ascii="Arial" w:hAnsi="Arial" w:cs="Arial"/>
          <w:b/>
          <w:bCs/>
          <w:color w:val="000000"/>
        </w:rPr>
      </w:pPr>
      <w:r w:rsidRPr="000E1B45">
        <w:rPr>
          <w:rFonts w:ascii="Arial" w:hAnsi="Arial" w:cs="Arial"/>
          <w:b/>
          <w:bCs/>
          <w:color w:val="000000"/>
          <w:u w:val="single"/>
        </w:rPr>
        <w:t>Most Recent Review/Action</w:t>
      </w:r>
      <w:r w:rsidRPr="000E1B45">
        <w:rPr>
          <w:rFonts w:ascii="Arial" w:hAnsi="Arial" w:cs="Arial"/>
          <w:color w:val="000000"/>
        </w:rPr>
        <w:t xml:space="preserve">:  </w:t>
      </w:r>
    </w:p>
    <w:p w:rsidR="00F619C7" w:rsidRPr="000E1B45" w:rsidRDefault="00F619C7" w:rsidP="00F619C7">
      <w:pPr>
        <w:pStyle w:val="Title"/>
        <w:ind w:firstLine="0"/>
        <w:jc w:val="both"/>
        <w:rPr>
          <w:rFonts w:ascii="Arial" w:hAnsi="Arial" w:cs="Arial"/>
          <w:color w:val="000000"/>
        </w:rPr>
      </w:pPr>
      <w:r>
        <w:rPr>
          <w:rFonts w:ascii="Arial" w:hAnsi="Arial" w:cs="Arial"/>
          <w:b/>
          <w:bCs/>
          <w:color w:val="000000"/>
        </w:rPr>
        <w:fldChar w:fldCharType="begin">
          <w:ffData>
            <w:name w:val="Check8"/>
            <w:enabled/>
            <w:calcOnExit w:val="0"/>
            <w:checkBox>
              <w:sizeAuto/>
              <w:default w:val="0"/>
            </w:checkBox>
          </w:ffData>
        </w:fldChar>
      </w:r>
      <w:bookmarkStart w:id="1" w:name="Check8"/>
      <w:r>
        <w:rPr>
          <w:rFonts w:ascii="Arial" w:hAnsi="Arial" w:cs="Arial"/>
          <w:b/>
          <w:bCs/>
          <w:color w:val="000000"/>
        </w:rPr>
        <w:instrText xml:space="preserve"> FORMCHECKBOX </w:instrText>
      </w:r>
      <w:r w:rsidR="00720DD3">
        <w:rPr>
          <w:rFonts w:ascii="Arial" w:hAnsi="Arial" w:cs="Arial"/>
          <w:b/>
          <w:bCs/>
          <w:color w:val="000000"/>
        </w:rPr>
      </w:r>
      <w:r w:rsidR="00720DD3">
        <w:rPr>
          <w:rFonts w:ascii="Arial" w:hAnsi="Arial" w:cs="Arial"/>
          <w:b/>
          <w:bCs/>
          <w:color w:val="000000"/>
        </w:rPr>
        <w:fldChar w:fldCharType="separate"/>
      </w:r>
      <w:r>
        <w:rPr>
          <w:rFonts w:ascii="Arial" w:hAnsi="Arial" w:cs="Arial"/>
          <w:b/>
          <w:bCs/>
          <w:color w:val="000000"/>
        </w:rPr>
        <w:fldChar w:fldCharType="end"/>
      </w:r>
      <w:bookmarkEnd w:id="1"/>
      <w:r w:rsidRPr="000E1B45">
        <w:rPr>
          <w:rFonts w:ascii="Arial" w:hAnsi="Arial" w:cs="Arial"/>
          <w:b/>
          <w:bCs/>
          <w:color w:val="000000"/>
        </w:rPr>
        <w:t xml:space="preserve">  </w:t>
      </w:r>
      <w:r w:rsidRPr="000E1B45">
        <w:rPr>
          <w:rFonts w:ascii="Arial" w:hAnsi="Arial" w:cs="Arial"/>
          <w:color w:val="000000"/>
        </w:rPr>
        <w:t xml:space="preserve">No previous Council review/action </w:t>
      </w:r>
    </w:p>
    <w:bookmarkStart w:id="2" w:name="Check9"/>
    <w:p w:rsidR="00F619C7" w:rsidRPr="000E1B45" w:rsidRDefault="00F619C7" w:rsidP="00F619C7">
      <w:pPr>
        <w:pStyle w:val="Title"/>
        <w:ind w:firstLine="0"/>
        <w:jc w:val="both"/>
        <w:rPr>
          <w:rFonts w:ascii="Arial" w:hAnsi="Arial" w:cs="Arial"/>
          <w:color w:val="000000"/>
        </w:rPr>
      </w:pPr>
      <w:r>
        <w:rPr>
          <w:rFonts w:ascii="Arial" w:hAnsi="Arial" w:cs="Arial"/>
          <w:color w:val="000000"/>
        </w:rPr>
        <w:fldChar w:fldCharType="begin">
          <w:ffData>
            <w:name w:val="Check9"/>
            <w:enabled/>
            <w:calcOnExit w:val="0"/>
            <w:checkBox>
              <w:sizeAuto/>
              <w:default w:val="1"/>
            </w:checkBox>
          </w:ffData>
        </w:fldChar>
      </w:r>
      <w:r>
        <w:rPr>
          <w:rFonts w:ascii="Arial" w:hAnsi="Arial" w:cs="Arial"/>
          <w:color w:val="000000"/>
        </w:rPr>
        <w:instrText xml:space="preserve"> FORMCHECKBOX </w:instrText>
      </w:r>
      <w:r w:rsidR="00720DD3">
        <w:rPr>
          <w:rFonts w:ascii="Arial" w:hAnsi="Arial" w:cs="Arial"/>
          <w:color w:val="000000"/>
        </w:rPr>
      </w:r>
      <w:r w:rsidR="00720DD3">
        <w:rPr>
          <w:rFonts w:ascii="Arial" w:hAnsi="Arial" w:cs="Arial"/>
          <w:color w:val="000000"/>
        </w:rPr>
        <w:fldChar w:fldCharType="separate"/>
      </w:r>
      <w:r>
        <w:rPr>
          <w:rFonts w:ascii="Arial" w:hAnsi="Arial" w:cs="Arial"/>
          <w:color w:val="000000"/>
        </w:rPr>
        <w:fldChar w:fldCharType="end"/>
      </w:r>
      <w:bookmarkEnd w:id="2"/>
      <w:r w:rsidRPr="000E1B45">
        <w:rPr>
          <w:rFonts w:ascii="Arial" w:hAnsi="Arial" w:cs="Arial"/>
          <w:color w:val="000000"/>
        </w:rPr>
        <w:t xml:space="preserve">  Previous review/action </w:t>
      </w:r>
    </w:p>
    <w:p w:rsidR="00F619C7" w:rsidRPr="00EC7C91" w:rsidRDefault="00F619C7" w:rsidP="00F619C7">
      <w:pPr>
        <w:pStyle w:val="Title"/>
        <w:ind w:firstLine="0"/>
        <w:jc w:val="both"/>
        <w:rPr>
          <w:rFonts w:ascii="Arial" w:hAnsi="Arial" w:cs="Arial"/>
          <w:color w:val="000000"/>
        </w:rPr>
      </w:pPr>
      <w:r w:rsidRPr="000E1B45">
        <w:rPr>
          <w:rFonts w:ascii="Arial" w:hAnsi="Arial" w:cs="Arial"/>
          <w:color w:val="000000"/>
        </w:rPr>
        <w:tab/>
      </w:r>
      <w:r w:rsidRPr="000E1B45">
        <w:rPr>
          <w:rFonts w:ascii="Arial" w:hAnsi="Arial" w:cs="Arial"/>
          <w:color w:val="000000"/>
        </w:rPr>
        <w:tab/>
      </w:r>
      <w:r w:rsidRPr="000E1B45">
        <w:rPr>
          <w:rFonts w:ascii="Arial" w:hAnsi="Arial" w:cs="Arial"/>
          <w:b/>
          <w:bCs/>
          <w:color w:val="000000"/>
        </w:rPr>
        <w:t xml:space="preserve">Date:  </w:t>
      </w:r>
      <w:r w:rsidR="00507F61">
        <w:rPr>
          <w:rFonts w:ascii="Arial" w:hAnsi="Arial" w:cs="Arial"/>
          <w:bCs/>
          <w:color w:val="000000"/>
        </w:rPr>
        <w:t>July 17</w:t>
      </w:r>
      <w:r>
        <w:rPr>
          <w:rFonts w:ascii="Arial" w:hAnsi="Arial" w:cs="Arial"/>
          <w:bCs/>
          <w:color w:val="000000"/>
        </w:rPr>
        <w:t>, 201</w:t>
      </w:r>
      <w:r w:rsidR="007A126C">
        <w:rPr>
          <w:rFonts w:ascii="Arial" w:hAnsi="Arial" w:cs="Arial"/>
          <w:bCs/>
          <w:color w:val="000000"/>
        </w:rPr>
        <w:t>8</w:t>
      </w:r>
    </w:p>
    <w:p w:rsidR="00F619C7" w:rsidRPr="00AE7DC0" w:rsidRDefault="00F619C7" w:rsidP="00507F61">
      <w:pPr>
        <w:pStyle w:val="Title"/>
        <w:tabs>
          <w:tab w:val="clear" w:pos="360"/>
          <w:tab w:val="left" w:pos="720"/>
        </w:tabs>
        <w:ind w:left="1710" w:hanging="1710"/>
        <w:jc w:val="both"/>
        <w:outlineLvl w:val="0"/>
        <w:rPr>
          <w:rFonts w:ascii="Arial" w:hAnsi="Arial" w:cs="Arial"/>
          <w:bCs/>
          <w:color w:val="000000"/>
        </w:rPr>
      </w:pPr>
      <w:r w:rsidRPr="000E1B45">
        <w:rPr>
          <w:rFonts w:ascii="Arial" w:hAnsi="Arial" w:cs="Arial"/>
          <w:color w:val="000000"/>
        </w:rPr>
        <w:tab/>
      </w:r>
      <w:r w:rsidRPr="000E1B45">
        <w:rPr>
          <w:rFonts w:ascii="Arial" w:hAnsi="Arial" w:cs="Arial"/>
          <w:b/>
          <w:bCs/>
          <w:color w:val="000000"/>
        </w:rPr>
        <w:t xml:space="preserve">Action: </w:t>
      </w:r>
      <w:r>
        <w:rPr>
          <w:rFonts w:ascii="Arial" w:hAnsi="Arial" w:cs="Arial"/>
          <w:bCs/>
          <w:color w:val="000000"/>
        </w:rPr>
        <w:t xml:space="preserve">Discussed the </w:t>
      </w:r>
      <w:r w:rsidR="00507F61">
        <w:rPr>
          <w:rFonts w:ascii="Arial" w:hAnsi="Arial" w:cs="Arial"/>
          <w:bCs/>
          <w:color w:val="000000"/>
        </w:rPr>
        <w:t>assessment results for the six general education-related performance measures.</w:t>
      </w:r>
    </w:p>
    <w:p w:rsidR="00F619C7" w:rsidRPr="00EC7C91" w:rsidRDefault="00F619C7" w:rsidP="00F619C7">
      <w:pPr>
        <w:pStyle w:val="Title"/>
        <w:ind w:left="1710" w:hanging="1710"/>
        <w:jc w:val="both"/>
        <w:outlineLvl w:val="0"/>
        <w:rPr>
          <w:rFonts w:ascii="Arial" w:hAnsi="Arial" w:cs="Arial"/>
          <w:color w:val="000000"/>
        </w:rPr>
      </w:pPr>
      <w:r>
        <w:rPr>
          <w:rFonts w:ascii="Arial" w:hAnsi="Arial" w:cs="Arial"/>
          <w:bCs/>
          <w:color w:val="000000"/>
        </w:rPr>
        <w:tab/>
      </w:r>
      <w:r>
        <w:rPr>
          <w:rFonts w:ascii="Arial" w:hAnsi="Arial" w:cs="Arial"/>
          <w:bCs/>
          <w:color w:val="000000"/>
        </w:rPr>
        <w:tab/>
      </w:r>
    </w:p>
    <w:p w:rsidR="00507F61" w:rsidRDefault="00F619C7" w:rsidP="00C2144B">
      <w:pPr>
        <w:pStyle w:val="Title"/>
        <w:ind w:firstLine="0"/>
        <w:jc w:val="both"/>
        <w:outlineLvl w:val="0"/>
        <w:rPr>
          <w:rFonts w:ascii="Arial" w:hAnsi="Arial" w:cs="Arial"/>
          <w:bCs/>
          <w:color w:val="000000"/>
        </w:rPr>
      </w:pPr>
      <w:r w:rsidRPr="000E1B45">
        <w:rPr>
          <w:rFonts w:ascii="Arial" w:hAnsi="Arial" w:cs="Arial"/>
          <w:b/>
          <w:bCs/>
          <w:color w:val="000000"/>
          <w:u w:val="single"/>
        </w:rPr>
        <w:t>Background Information</w:t>
      </w:r>
      <w:r w:rsidR="00C2144B">
        <w:rPr>
          <w:rFonts w:ascii="Arial" w:hAnsi="Arial" w:cs="Arial"/>
          <w:b/>
          <w:bCs/>
          <w:color w:val="auto"/>
          <w:u w:val="single"/>
        </w:rPr>
        <w:t>/Summary of Major Elements</w:t>
      </w:r>
      <w:r w:rsidR="004B5F35">
        <w:rPr>
          <w:rFonts w:ascii="Arial" w:hAnsi="Arial" w:cs="Arial"/>
          <w:b/>
          <w:bCs/>
          <w:color w:val="auto"/>
        </w:rPr>
        <w:t xml:space="preserve">: </w:t>
      </w:r>
      <w:r>
        <w:rPr>
          <w:rFonts w:ascii="Arial" w:hAnsi="Arial" w:cs="Arial"/>
          <w:bCs/>
          <w:color w:val="000000"/>
        </w:rPr>
        <w:t xml:space="preserve">The purpose of this agenda item is to discuss </w:t>
      </w:r>
      <w:r w:rsidR="00507F61">
        <w:rPr>
          <w:rFonts w:ascii="Arial" w:hAnsi="Arial" w:cs="Arial"/>
          <w:bCs/>
          <w:color w:val="000000"/>
        </w:rPr>
        <w:t>the final results for the 2018 assessment of institutional performance and take action regarding cert</w:t>
      </w:r>
      <w:r w:rsidR="00434AC8">
        <w:rPr>
          <w:rFonts w:ascii="Arial" w:hAnsi="Arial" w:cs="Arial"/>
          <w:bCs/>
          <w:color w:val="000000"/>
        </w:rPr>
        <w:t xml:space="preserve">ification of the institutions. </w:t>
      </w:r>
      <w:r w:rsidR="00507F61">
        <w:rPr>
          <w:rFonts w:ascii="Arial" w:hAnsi="Arial" w:cs="Arial"/>
          <w:bCs/>
          <w:color w:val="000000"/>
        </w:rPr>
        <w:t xml:space="preserve">The periods under review for this assessment are 2015-16 and 2016-17.  </w:t>
      </w:r>
    </w:p>
    <w:p w:rsidR="00507F61" w:rsidRDefault="00507F61" w:rsidP="00D32F44">
      <w:pPr>
        <w:pStyle w:val="Title"/>
        <w:ind w:right="-36" w:firstLine="0"/>
        <w:jc w:val="both"/>
        <w:outlineLvl w:val="0"/>
        <w:rPr>
          <w:rFonts w:ascii="Arial" w:hAnsi="Arial" w:cs="Arial"/>
          <w:bCs/>
          <w:color w:val="000000"/>
        </w:rPr>
      </w:pPr>
    </w:p>
    <w:p w:rsidR="00507F61" w:rsidRDefault="004A6E13" w:rsidP="00D32F44">
      <w:pPr>
        <w:pStyle w:val="Title"/>
        <w:ind w:right="-36" w:firstLine="0"/>
        <w:jc w:val="both"/>
        <w:outlineLvl w:val="0"/>
        <w:rPr>
          <w:rFonts w:ascii="Arial" w:hAnsi="Arial" w:cs="Arial"/>
          <w:bCs/>
          <w:color w:val="000000"/>
        </w:rPr>
      </w:pPr>
      <w:r>
        <w:rPr>
          <w:rFonts w:ascii="Arial" w:hAnsi="Arial" w:cs="Arial"/>
          <w:bCs/>
          <w:color w:val="000000"/>
        </w:rPr>
        <w:t>The State Council of Higher Education (SCHEV) process involves</w:t>
      </w:r>
      <w:r w:rsidR="00434AC8">
        <w:rPr>
          <w:rFonts w:ascii="Arial" w:hAnsi="Arial" w:cs="Arial"/>
          <w:bCs/>
          <w:color w:val="000000"/>
        </w:rPr>
        <w:t xml:space="preserve"> two areas of measurement. </w:t>
      </w:r>
      <w:r w:rsidR="00507F61">
        <w:rPr>
          <w:rFonts w:ascii="Arial" w:hAnsi="Arial" w:cs="Arial"/>
          <w:bCs/>
          <w:color w:val="000000"/>
        </w:rPr>
        <w:t>The six general education-related</w:t>
      </w:r>
      <w:r w:rsidR="00F619C7">
        <w:rPr>
          <w:rFonts w:ascii="Arial" w:hAnsi="Arial" w:cs="Arial"/>
          <w:bCs/>
          <w:color w:val="000000"/>
        </w:rPr>
        <w:t xml:space="preserve"> performance measures </w:t>
      </w:r>
      <w:r w:rsidR="00246B42">
        <w:rPr>
          <w:rFonts w:ascii="Arial" w:hAnsi="Arial" w:cs="Arial"/>
          <w:bCs/>
          <w:color w:val="000000"/>
        </w:rPr>
        <w:t>comprise one area</w:t>
      </w:r>
      <w:r w:rsidR="001910A0">
        <w:rPr>
          <w:rFonts w:ascii="Arial" w:hAnsi="Arial" w:cs="Arial"/>
          <w:bCs/>
          <w:color w:val="000000"/>
        </w:rPr>
        <w:t>.</w:t>
      </w:r>
      <w:r w:rsidR="00246B42">
        <w:rPr>
          <w:rFonts w:ascii="Arial" w:hAnsi="Arial" w:cs="Arial"/>
          <w:bCs/>
          <w:color w:val="000000"/>
        </w:rPr>
        <w:t xml:space="preserve"> </w:t>
      </w:r>
      <w:r w:rsidR="001910A0">
        <w:rPr>
          <w:rFonts w:ascii="Arial" w:hAnsi="Arial" w:cs="Arial"/>
          <w:bCs/>
          <w:color w:val="000000"/>
        </w:rPr>
        <w:t>T</w:t>
      </w:r>
      <w:r w:rsidR="00507F61">
        <w:rPr>
          <w:rFonts w:ascii="Arial" w:hAnsi="Arial" w:cs="Arial"/>
          <w:bCs/>
          <w:color w:val="000000"/>
        </w:rPr>
        <w:t xml:space="preserve">he </w:t>
      </w:r>
      <w:r>
        <w:rPr>
          <w:rFonts w:ascii="Arial" w:hAnsi="Arial" w:cs="Arial"/>
          <w:bCs/>
          <w:color w:val="000000"/>
        </w:rPr>
        <w:t>financial and a</w:t>
      </w:r>
      <w:r w:rsidR="00507F61">
        <w:rPr>
          <w:rFonts w:ascii="Arial" w:hAnsi="Arial" w:cs="Arial"/>
          <w:bCs/>
          <w:color w:val="000000"/>
        </w:rPr>
        <w:t xml:space="preserve">dministrative </w:t>
      </w:r>
      <w:r>
        <w:rPr>
          <w:rFonts w:ascii="Arial" w:hAnsi="Arial" w:cs="Arial"/>
          <w:bCs/>
          <w:color w:val="000000"/>
        </w:rPr>
        <w:t>s</w:t>
      </w:r>
      <w:r w:rsidR="00507F61">
        <w:rPr>
          <w:rFonts w:ascii="Arial" w:hAnsi="Arial" w:cs="Arial"/>
          <w:bCs/>
          <w:color w:val="000000"/>
        </w:rPr>
        <w:t>tandards comprise the second area.</w:t>
      </w:r>
      <w:r w:rsidR="007859DF">
        <w:rPr>
          <w:rFonts w:ascii="Arial" w:hAnsi="Arial" w:cs="Arial"/>
          <w:bCs/>
          <w:color w:val="000000"/>
        </w:rPr>
        <w:t xml:space="preserve"> </w:t>
      </w:r>
      <w:r w:rsidR="00507F61">
        <w:rPr>
          <w:rFonts w:ascii="Arial" w:hAnsi="Arial" w:cs="Arial"/>
          <w:bCs/>
          <w:color w:val="000000"/>
        </w:rPr>
        <w:t xml:space="preserve">Appendix A contains the language </w:t>
      </w:r>
      <w:r w:rsidR="001910A0">
        <w:rPr>
          <w:rFonts w:ascii="Arial" w:hAnsi="Arial" w:cs="Arial"/>
          <w:bCs/>
          <w:color w:val="000000"/>
        </w:rPr>
        <w:t xml:space="preserve">related to the Council’s involvement in this process, the six general measures, and the </w:t>
      </w:r>
      <w:r>
        <w:rPr>
          <w:rFonts w:ascii="Arial" w:hAnsi="Arial" w:cs="Arial"/>
          <w:bCs/>
          <w:color w:val="000000"/>
        </w:rPr>
        <w:t>f</w:t>
      </w:r>
      <w:r w:rsidR="001910A0">
        <w:rPr>
          <w:rFonts w:ascii="Arial" w:hAnsi="Arial" w:cs="Arial"/>
          <w:bCs/>
          <w:color w:val="000000"/>
        </w:rPr>
        <w:t xml:space="preserve">inancial and </w:t>
      </w:r>
      <w:r>
        <w:rPr>
          <w:rFonts w:ascii="Arial" w:hAnsi="Arial" w:cs="Arial"/>
          <w:bCs/>
          <w:color w:val="000000"/>
        </w:rPr>
        <w:t>a</w:t>
      </w:r>
      <w:r w:rsidR="001910A0">
        <w:rPr>
          <w:rFonts w:ascii="Arial" w:hAnsi="Arial" w:cs="Arial"/>
          <w:bCs/>
          <w:color w:val="000000"/>
        </w:rPr>
        <w:t xml:space="preserve">dministrative </w:t>
      </w:r>
      <w:r>
        <w:rPr>
          <w:rFonts w:ascii="Arial" w:hAnsi="Arial" w:cs="Arial"/>
          <w:bCs/>
          <w:color w:val="000000"/>
        </w:rPr>
        <w:t>s</w:t>
      </w:r>
      <w:r w:rsidR="001910A0">
        <w:rPr>
          <w:rFonts w:ascii="Arial" w:hAnsi="Arial" w:cs="Arial"/>
          <w:bCs/>
          <w:color w:val="000000"/>
        </w:rPr>
        <w:t xml:space="preserve">tandards. Section ‘d’ of the Appendix contains the </w:t>
      </w:r>
      <w:r>
        <w:rPr>
          <w:rFonts w:ascii="Arial" w:hAnsi="Arial" w:cs="Arial"/>
          <w:bCs/>
          <w:color w:val="000000"/>
        </w:rPr>
        <w:t>s</w:t>
      </w:r>
      <w:r w:rsidR="001910A0">
        <w:rPr>
          <w:rFonts w:ascii="Arial" w:hAnsi="Arial" w:cs="Arial"/>
          <w:bCs/>
          <w:color w:val="000000"/>
        </w:rPr>
        <w:t>tandards</w:t>
      </w:r>
      <w:r w:rsidR="00434AC8">
        <w:rPr>
          <w:rFonts w:ascii="Arial" w:hAnsi="Arial" w:cs="Arial"/>
          <w:bCs/>
          <w:color w:val="000000"/>
        </w:rPr>
        <w:t xml:space="preserve"> for most of the institutions. </w:t>
      </w:r>
      <w:r>
        <w:rPr>
          <w:rFonts w:ascii="Arial" w:hAnsi="Arial" w:cs="Arial"/>
          <w:bCs/>
          <w:color w:val="000000"/>
        </w:rPr>
        <w:t>Section ‘e’ contains the s</w:t>
      </w:r>
      <w:r w:rsidR="001910A0">
        <w:rPr>
          <w:rFonts w:ascii="Arial" w:hAnsi="Arial" w:cs="Arial"/>
          <w:bCs/>
          <w:color w:val="000000"/>
        </w:rPr>
        <w:t>tandards for the Level 3 institutions.  These institutions have the hi</w:t>
      </w:r>
      <w:r>
        <w:rPr>
          <w:rFonts w:ascii="Arial" w:hAnsi="Arial" w:cs="Arial"/>
          <w:bCs/>
          <w:color w:val="000000"/>
        </w:rPr>
        <w:t>ghest level of authority under the 2005 Restructured Higher Education Financial and Administrative Operations Act.</w:t>
      </w:r>
    </w:p>
    <w:p w:rsidR="00507F61" w:rsidRDefault="00507F61" w:rsidP="00D32F44">
      <w:pPr>
        <w:pStyle w:val="Title"/>
        <w:ind w:right="-36" w:firstLine="0"/>
        <w:jc w:val="both"/>
        <w:outlineLvl w:val="0"/>
        <w:rPr>
          <w:rFonts w:ascii="Arial" w:hAnsi="Arial" w:cs="Arial"/>
          <w:bCs/>
          <w:color w:val="000000"/>
        </w:rPr>
      </w:pPr>
    </w:p>
    <w:p w:rsidR="00C661A3" w:rsidRDefault="003D24AD" w:rsidP="00C661A3">
      <w:pPr>
        <w:pStyle w:val="Title"/>
        <w:ind w:right="-36" w:firstLine="0"/>
        <w:jc w:val="both"/>
        <w:outlineLvl w:val="0"/>
        <w:rPr>
          <w:rFonts w:ascii="Arial" w:hAnsi="Arial" w:cs="Arial"/>
          <w:color w:val="auto"/>
        </w:rPr>
      </w:pPr>
      <w:r>
        <w:rPr>
          <w:rFonts w:ascii="Arial" w:hAnsi="Arial" w:cs="Arial"/>
          <w:bCs/>
          <w:color w:val="000000"/>
        </w:rPr>
        <w:t>Results for these</w:t>
      </w:r>
      <w:r w:rsidR="007859DF">
        <w:rPr>
          <w:rFonts w:ascii="Arial" w:hAnsi="Arial" w:cs="Arial"/>
          <w:bCs/>
          <w:color w:val="000000"/>
        </w:rPr>
        <w:t xml:space="preserve"> </w:t>
      </w:r>
      <w:r>
        <w:rPr>
          <w:rFonts w:ascii="Arial" w:hAnsi="Arial" w:cs="Arial"/>
          <w:bCs/>
          <w:color w:val="000000"/>
        </w:rPr>
        <w:t>measures</w:t>
      </w:r>
      <w:r w:rsidR="007859DF">
        <w:rPr>
          <w:rFonts w:ascii="Arial" w:hAnsi="Arial" w:cs="Arial"/>
          <w:bCs/>
          <w:color w:val="000000"/>
        </w:rPr>
        <w:t xml:space="preserve"> </w:t>
      </w:r>
      <w:r w:rsidR="00507F61">
        <w:rPr>
          <w:rFonts w:ascii="Arial" w:hAnsi="Arial" w:cs="Arial"/>
          <w:bCs/>
          <w:color w:val="000000"/>
        </w:rPr>
        <w:t>and standards</w:t>
      </w:r>
      <w:r>
        <w:rPr>
          <w:rFonts w:ascii="Arial" w:hAnsi="Arial" w:cs="Arial"/>
          <w:bCs/>
          <w:color w:val="000000"/>
        </w:rPr>
        <w:t xml:space="preserve"> </w:t>
      </w:r>
      <w:r w:rsidR="00507F61">
        <w:rPr>
          <w:rFonts w:ascii="Arial" w:hAnsi="Arial" w:cs="Arial"/>
          <w:bCs/>
          <w:color w:val="000000"/>
        </w:rPr>
        <w:t>a</w:t>
      </w:r>
      <w:r w:rsidR="007859DF">
        <w:rPr>
          <w:rFonts w:ascii="Arial" w:hAnsi="Arial" w:cs="Arial"/>
          <w:bCs/>
          <w:color w:val="000000"/>
        </w:rPr>
        <w:t xml:space="preserve">re used to certify institutional performance. </w:t>
      </w:r>
      <w:r w:rsidR="00C661A3">
        <w:rPr>
          <w:rFonts w:ascii="Arial" w:hAnsi="Arial" w:cs="Arial"/>
          <w:bCs/>
          <w:color w:val="auto"/>
        </w:rPr>
        <w:t>I</w:t>
      </w:r>
      <w:r w:rsidR="00C661A3" w:rsidRPr="00B80DF6">
        <w:rPr>
          <w:rFonts w:ascii="Arial" w:hAnsi="Arial" w:cs="Arial"/>
          <w:bCs/>
          <w:color w:val="auto"/>
        </w:rPr>
        <w:t xml:space="preserve">nstitutions that meet certification criteria </w:t>
      </w:r>
      <w:r w:rsidR="00C661A3">
        <w:rPr>
          <w:rFonts w:ascii="Arial" w:hAnsi="Arial" w:cs="Arial"/>
          <w:bCs/>
          <w:color w:val="auto"/>
        </w:rPr>
        <w:t xml:space="preserve">for these measures </w:t>
      </w:r>
      <w:r w:rsidR="00C661A3" w:rsidRPr="00B80DF6">
        <w:rPr>
          <w:rFonts w:ascii="Arial" w:hAnsi="Arial" w:cs="Arial"/>
          <w:bCs/>
          <w:color w:val="auto"/>
        </w:rPr>
        <w:t xml:space="preserve">are eligible to receive financial benefits from the state. </w:t>
      </w:r>
      <w:r w:rsidR="00C661A3" w:rsidRPr="004D47D3">
        <w:rPr>
          <w:rFonts w:ascii="Arial" w:hAnsi="Arial" w:cs="Arial"/>
          <w:color w:val="auto"/>
        </w:rPr>
        <w:t>As part of the Council's efforts to improv</w:t>
      </w:r>
      <w:r w:rsidR="00C661A3" w:rsidRPr="00B80DF6">
        <w:rPr>
          <w:rFonts w:ascii="Arial" w:hAnsi="Arial" w:cs="Arial"/>
          <w:color w:val="auto"/>
        </w:rPr>
        <w:t>e</w:t>
      </w:r>
      <w:r w:rsidR="00C661A3" w:rsidRPr="004D47D3">
        <w:rPr>
          <w:rFonts w:ascii="Arial" w:hAnsi="Arial" w:cs="Arial"/>
          <w:color w:val="auto"/>
        </w:rPr>
        <w:t xml:space="preserve"> funding for higher education, SCHEV approved a recommendation last fall to restore the financial benefits prov</w:t>
      </w:r>
      <w:r w:rsidR="00434AC8">
        <w:rPr>
          <w:rFonts w:ascii="Arial" w:hAnsi="Arial" w:cs="Arial"/>
          <w:color w:val="auto"/>
        </w:rPr>
        <w:t xml:space="preserve">ided to certified institutions. </w:t>
      </w:r>
      <w:r w:rsidR="00C661A3" w:rsidRPr="004D47D3">
        <w:rPr>
          <w:rFonts w:ascii="Arial" w:hAnsi="Arial" w:cs="Arial"/>
          <w:color w:val="auto"/>
        </w:rPr>
        <w:t xml:space="preserve">The Governor included this recommendation in the introduced budget and the General Assembly approved the funding in </w:t>
      </w:r>
      <w:r w:rsidR="00C661A3">
        <w:rPr>
          <w:rFonts w:ascii="Arial" w:hAnsi="Arial" w:cs="Arial"/>
          <w:color w:val="auto"/>
        </w:rPr>
        <w:t xml:space="preserve">the </w:t>
      </w:r>
      <w:r w:rsidR="00C661A3" w:rsidRPr="004D47D3">
        <w:rPr>
          <w:rFonts w:ascii="Arial" w:hAnsi="Arial" w:cs="Arial"/>
          <w:color w:val="auto"/>
        </w:rPr>
        <w:t>final bill. The benefits include $</w:t>
      </w:r>
      <w:r w:rsidR="004D5598">
        <w:rPr>
          <w:rFonts w:ascii="Arial" w:hAnsi="Arial" w:cs="Arial"/>
          <w:color w:val="auto"/>
        </w:rPr>
        <w:t>13 million</w:t>
      </w:r>
      <w:r w:rsidR="00C661A3" w:rsidRPr="004D47D3">
        <w:rPr>
          <w:rFonts w:ascii="Arial" w:hAnsi="Arial" w:cs="Arial"/>
          <w:color w:val="auto"/>
        </w:rPr>
        <w:t xml:space="preserve"> for the biennium. All institutions </w:t>
      </w:r>
      <w:r w:rsidR="00C661A3">
        <w:rPr>
          <w:rFonts w:ascii="Arial" w:hAnsi="Arial" w:cs="Arial"/>
          <w:color w:val="auto"/>
        </w:rPr>
        <w:t>are eligible</w:t>
      </w:r>
      <w:r w:rsidR="00C661A3" w:rsidRPr="004D47D3">
        <w:rPr>
          <w:rFonts w:ascii="Arial" w:hAnsi="Arial" w:cs="Arial"/>
          <w:color w:val="auto"/>
        </w:rPr>
        <w:t xml:space="preserve"> for t</w:t>
      </w:r>
      <w:r w:rsidR="003369C9">
        <w:rPr>
          <w:rFonts w:ascii="Arial" w:hAnsi="Arial" w:cs="Arial"/>
          <w:color w:val="auto"/>
        </w:rPr>
        <w:t>he award of benefits for FY 2018</w:t>
      </w:r>
      <w:r w:rsidR="00C661A3" w:rsidRPr="004D47D3">
        <w:rPr>
          <w:rFonts w:ascii="Arial" w:hAnsi="Arial" w:cs="Arial"/>
          <w:color w:val="auto"/>
        </w:rPr>
        <w:t xml:space="preserve">. Institutions certified by SCHEV during this </w:t>
      </w:r>
      <w:r w:rsidR="00C661A3">
        <w:rPr>
          <w:rFonts w:ascii="Arial" w:hAnsi="Arial" w:cs="Arial"/>
          <w:color w:val="auto"/>
        </w:rPr>
        <w:t xml:space="preserve">current assessment </w:t>
      </w:r>
      <w:r w:rsidR="00C661A3" w:rsidRPr="004D47D3">
        <w:rPr>
          <w:rFonts w:ascii="Arial" w:hAnsi="Arial" w:cs="Arial"/>
          <w:color w:val="auto"/>
        </w:rPr>
        <w:t xml:space="preserve">process will be eligible to receive benefits for FY </w:t>
      </w:r>
      <w:r w:rsidR="00C661A3">
        <w:rPr>
          <w:rFonts w:ascii="Arial" w:hAnsi="Arial" w:cs="Arial"/>
          <w:color w:val="auto"/>
        </w:rPr>
        <w:t>20</w:t>
      </w:r>
      <w:r w:rsidR="003369C9">
        <w:rPr>
          <w:rFonts w:ascii="Arial" w:hAnsi="Arial" w:cs="Arial"/>
          <w:color w:val="auto"/>
        </w:rPr>
        <w:t>19</w:t>
      </w:r>
      <w:r w:rsidR="00C661A3">
        <w:rPr>
          <w:rFonts w:ascii="Arial" w:hAnsi="Arial" w:cs="Arial"/>
          <w:color w:val="auto"/>
        </w:rPr>
        <w:t xml:space="preserve"> and FY 202</w:t>
      </w:r>
      <w:r w:rsidR="003369C9">
        <w:rPr>
          <w:rFonts w:ascii="Arial" w:hAnsi="Arial" w:cs="Arial"/>
          <w:color w:val="auto"/>
        </w:rPr>
        <w:t>0</w:t>
      </w:r>
      <w:r w:rsidR="00C661A3" w:rsidRPr="004D47D3">
        <w:rPr>
          <w:rFonts w:ascii="Arial" w:hAnsi="Arial" w:cs="Arial"/>
          <w:color w:val="auto"/>
        </w:rPr>
        <w:t>. </w:t>
      </w:r>
      <w:r w:rsidR="00C661A3" w:rsidRPr="00B80DF6">
        <w:rPr>
          <w:rFonts w:ascii="Arial" w:hAnsi="Arial" w:cs="Arial"/>
          <w:color w:val="auto"/>
        </w:rPr>
        <w:t>The financial benefits are listed In Appendix B.</w:t>
      </w:r>
      <w:r w:rsidR="00434AC8">
        <w:rPr>
          <w:rFonts w:ascii="Arial" w:hAnsi="Arial" w:cs="Arial"/>
          <w:color w:val="auto"/>
        </w:rPr>
        <w:t xml:space="preserve"> </w:t>
      </w:r>
      <w:r w:rsidR="001910A0">
        <w:rPr>
          <w:rFonts w:ascii="Arial" w:hAnsi="Arial" w:cs="Arial"/>
          <w:color w:val="auto"/>
        </w:rPr>
        <w:t xml:space="preserve">Institutions </w:t>
      </w:r>
      <w:r w:rsidR="001910A0">
        <w:rPr>
          <w:rFonts w:ascii="Arial" w:hAnsi="Arial" w:cs="Arial"/>
          <w:color w:val="auto"/>
        </w:rPr>
        <w:lastRenderedPageBreak/>
        <w:t>have been eligible to receiv</w:t>
      </w:r>
      <w:r w:rsidR="00434AC8">
        <w:rPr>
          <w:rFonts w:ascii="Arial" w:hAnsi="Arial" w:cs="Arial"/>
          <w:color w:val="auto"/>
        </w:rPr>
        <w:t xml:space="preserve">e these benefits since FY2007. </w:t>
      </w:r>
      <w:r w:rsidR="001910A0">
        <w:rPr>
          <w:rFonts w:ascii="Arial" w:hAnsi="Arial" w:cs="Arial"/>
          <w:color w:val="auto"/>
        </w:rPr>
        <w:t>Appendix C contains information for FY2007 through FY2017.</w:t>
      </w:r>
    </w:p>
    <w:p w:rsidR="004A6E13" w:rsidRPr="00B80DF6" w:rsidRDefault="004A6E13" w:rsidP="00C661A3">
      <w:pPr>
        <w:pStyle w:val="Title"/>
        <w:ind w:right="-36" w:firstLine="0"/>
        <w:jc w:val="both"/>
        <w:outlineLvl w:val="0"/>
        <w:rPr>
          <w:rFonts w:ascii="Arial" w:hAnsi="Arial" w:cs="Arial"/>
          <w:color w:val="auto"/>
          <w:szCs w:val="20"/>
        </w:rPr>
      </w:pPr>
    </w:p>
    <w:p w:rsidR="004572FB" w:rsidRDefault="003D24AD" w:rsidP="004572FB">
      <w:pPr>
        <w:pStyle w:val="BodyText"/>
        <w:tabs>
          <w:tab w:val="left" w:pos="0"/>
        </w:tabs>
        <w:jc w:val="both"/>
        <w:rPr>
          <w:rFonts w:ascii="Arial" w:hAnsi="Arial" w:cs="Arial"/>
          <w:szCs w:val="20"/>
        </w:rPr>
      </w:pPr>
      <w:r>
        <w:rPr>
          <w:rFonts w:ascii="Arial" w:hAnsi="Arial" w:cs="Arial"/>
          <w:szCs w:val="20"/>
        </w:rPr>
        <w:t xml:space="preserve">SCHEV </w:t>
      </w:r>
      <w:r w:rsidR="004572FB">
        <w:rPr>
          <w:rFonts w:ascii="Arial" w:hAnsi="Arial" w:cs="Arial"/>
          <w:szCs w:val="20"/>
        </w:rPr>
        <w:t xml:space="preserve">has assessed institutional performance for over a decade beginning with the </w:t>
      </w:r>
      <w:r w:rsidR="004A6E13">
        <w:rPr>
          <w:rFonts w:ascii="Arial" w:hAnsi="Arial" w:cs="Arial"/>
          <w:szCs w:val="20"/>
        </w:rPr>
        <w:t xml:space="preserve">2005 restructuring legislation and continuing with </w:t>
      </w:r>
      <w:r w:rsidR="004572FB">
        <w:rPr>
          <w:rFonts w:ascii="Arial" w:hAnsi="Arial" w:cs="Arial"/>
          <w:szCs w:val="20"/>
        </w:rPr>
        <w:t>the Virginia Higher Education Opportunity Act of 2011 (Top Jobs Act or TJ21) and related Code of Virginia amendments. The Appropriat</w:t>
      </w:r>
      <w:r w:rsidR="004A6E13">
        <w:rPr>
          <w:rFonts w:ascii="Arial" w:hAnsi="Arial" w:cs="Arial"/>
          <w:szCs w:val="20"/>
        </w:rPr>
        <w:t xml:space="preserve">ion Act of 2016-18 (Chapter 836) </w:t>
      </w:r>
      <w:r w:rsidR="004572FB">
        <w:rPr>
          <w:rFonts w:ascii="Arial" w:hAnsi="Arial" w:cs="Arial"/>
          <w:szCs w:val="20"/>
        </w:rPr>
        <w:t>outlines the assessment process and lists the educ</w:t>
      </w:r>
      <w:r w:rsidR="004A6E13">
        <w:rPr>
          <w:rFonts w:ascii="Arial" w:hAnsi="Arial" w:cs="Arial"/>
          <w:szCs w:val="20"/>
        </w:rPr>
        <w:t>ation-related measures and the financial and administrative s</w:t>
      </w:r>
      <w:r w:rsidR="004572FB">
        <w:rPr>
          <w:rFonts w:ascii="Arial" w:hAnsi="Arial" w:cs="Arial"/>
          <w:szCs w:val="20"/>
        </w:rPr>
        <w:t>tandards by which the Council shall base its assessment and certification. The full text is included in A</w:t>
      </w:r>
      <w:r>
        <w:rPr>
          <w:rFonts w:ascii="Arial" w:hAnsi="Arial" w:cs="Arial"/>
          <w:szCs w:val="20"/>
        </w:rPr>
        <w:t>ppendix</w:t>
      </w:r>
      <w:r w:rsidR="004572FB">
        <w:rPr>
          <w:rFonts w:ascii="Arial" w:hAnsi="Arial" w:cs="Arial"/>
          <w:szCs w:val="20"/>
        </w:rPr>
        <w:t xml:space="preserve"> </w:t>
      </w:r>
      <w:r w:rsidR="00CD357F">
        <w:rPr>
          <w:rFonts w:ascii="Arial" w:hAnsi="Arial" w:cs="Arial"/>
          <w:szCs w:val="20"/>
        </w:rPr>
        <w:t xml:space="preserve">A </w:t>
      </w:r>
      <w:r w:rsidR="004572FB">
        <w:rPr>
          <w:rFonts w:ascii="Arial" w:hAnsi="Arial" w:cs="Arial"/>
          <w:szCs w:val="20"/>
        </w:rPr>
        <w:t xml:space="preserve">and is available </w:t>
      </w:r>
      <w:hyperlink r:id="rId10" w:history="1">
        <w:r w:rsidR="004572FB" w:rsidRPr="00AF41A0">
          <w:rPr>
            <w:rStyle w:val="Hyperlink"/>
            <w:rFonts w:ascii="Arial" w:hAnsi="Arial" w:cs="Arial"/>
            <w:szCs w:val="20"/>
          </w:rPr>
          <w:t>online</w:t>
        </w:r>
      </w:hyperlink>
      <w:r w:rsidR="004572FB">
        <w:rPr>
          <w:rFonts w:ascii="Arial" w:hAnsi="Arial" w:cs="Arial"/>
          <w:szCs w:val="20"/>
        </w:rPr>
        <w:t>. Specifically, the following text relates to SCHEV’s responsibilities:</w:t>
      </w:r>
    </w:p>
    <w:p w:rsidR="004572FB" w:rsidRPr="006C486E" w:rsidRDefault="004572FB" w:rsidP="00BB572C">
      <w:pPr>
        <w:pStyle w:val="NormalWeb"/>
        <w:ind w:left="720" w:right="1134"/>
        <w:jc w:val="both"/>
        <w:rPr>
          <w:rFonts w:ascii="Arial" w:hAnsi="Arial" w:cs="Arial"/>
          <w:i/>
        </w:rPr>
      </w:pPr>
      <w:r w:rsidRPr="006C486E">
        <w:rPr>
          <w:rFonts w:ascii="Arial" w:hAnsi="Arial" w:cs="Arial"/>
          <w:i/>
        </w:rPr>
        <w:t>In general, institutions are expected to achieve all performance measures in order to be certified by SCHEV, but it is understood that there can be circumstances beyond an institution’s control that may prevent achieving one</w:t>
      </w:r>
      <w:r>
        <w:rPr>
          <w:rFonts w:ascii="Arial" w:hAnsi="Arial" w:cs="Arial"/>
          <w:i/>
        </w:rPr>
        <w:t xml:space="preserve"> or more performance measures. </w:t>
      </w:r>
      <w:r w:rsidRPr="006C486E">
        <w:rPr>
          <w:rFonts w:ascii="Arial" w:hAnsi="Arial" w:cs="Arial"/>
          <w:i/>
        </w:rPr>
        <w:t>The Council shall consider, in consultation with each institution, such factors in its review: (1) institutions meeting all performance measures will be certified by the Council and recommended to receive the financial benefits, (2) institutions that do not meet all performance measures will be evaluated by the Council and the Council may take one or more of the following actions: (a) request the institution provide a remediation plan and recommend that the Governor withhold release of financial benefits until Council review of the remediation plan or (b) recommend that the Governor withhold all or part of financial benefits.</w:t>
      </w:r>
    </w:p>
    <w:p w:rsidR="004572FB" w:rsidRPr="006C486E" w:rsidRDefault="004572FB" w:rsidP="00BB572C">
      <w:pPr>
        <w:pStyle w:val="NormalWeb"/>
        <w:ind w:left="720" w:right="1134"/>
        <w:jc w:val="both"/>
        <w:rPr>
          <w:rFonts w:ascii="Arial" w:hAnsi="Arial" w:cs="Arial"/>
          <w:i/>
        </w:rPr>
      </w:pPr>
      <w:r w:rsidRPr="006C486E">
        <w:rPr>
          <w:rFonts w:ascii="Arial" w:hAnsi="Arial" w:cs="Arial"/>
          <w:i/>
        </w:rPr>
        <w:t>Further, the State Council shall have broad authority to certify institutions as having met the standards on education-related measures. The State Council shall likewise have the authority to exempt institutions from certification on education-related measures that the State Council deems unrelated to an institution’s mission or unnecessary given the institution’s level of performance.</w:t>
      </w:r>
    </w:p>
    <w:p w:rsidR="004572FB" w:rsidRPr="006C486E" w:rsidRDefault="004572FB" w:rsidP="00BB572C">
      <w:pPr>
        <w:pStyle w:val="NormalWeb"/>
        <w:ind w:left="720" w:right="1134"/>
        <w:jc w:val="both"/>
        <w:rPr>
          <w:rFonts w:ascii="Arial" w:hAnsi="Arial" w:cs="Arial"/>
          <w:i/>
        </w:rPr>
      </w:pPr>
      <w:r w:rsidRPr="006C486E">
        <w:rPr>
          <w:rFonts w:ascii="Arial" w:hAnsi="Arial" w:cs="Arial"/>
          <w:i/>
        </w:rPr>
        <w:t>The S</w:t>
      </w:r>
      <w:r>
        <w:rPr>
          <w:rFonts w:ascii="Arial" w:hAnsi="Arial" w:cs="Arial"/>
          <w:i/>
        </w:rPr>
        <w:t>tate Council may develop, adopt</w:t>
      </w:r>
      <w:r w:rsidRPr="006C486E">
        <w:rPr>
          <w:rFonts w:ascii="Arial" w:hAnsi="Arial" w:cs="Arial"/>
          <w:i/>
        </w:rPr>
        <w:t xml:space="preserve"> and publish standards for granting exemptions and ongoing modifications to the certification process.</w:t>
      </w:r>
    </w:p>
    <w:p w:rsidR="002A662B" w:rsidRPr="002A662B" w:rsidRDefault="002A662B" w:rsidP="00BB572C">
      <w:pPr>
        <w:pStyle w:val="BodyText"/>
        <w:tabs>
          <w:tab w:val="left" w:pos="0"/>
        </w:tabs>
        <w:jc w:val="both"/>
        <w:rPr>
          <w:rFonts w:ascii="Arial" w:hAnsi="Arial" w:cs="Arial"/>
          <w:b/>
          <w:szCs w:val="20"/>
          <w:u w:val="single"/>
        </w:rPr>
      </w:pPr>
      <w:r w:rsidRPr="002A662B">
        <w:rPr>
          <w:rFonts w:ascii="Arial" w:hAnsi="Arial" w:cs="Arial"/>
          <w:b/>
          <w:szCs w:val="20"/>
          <w:u w:val="single"/>
        </w:rPr>
        <w:t>Findings:</w:t>
      </w:r>
    </w:p>
    <w:p w:rsidR="002A662B" w:rsidRDefault="002A662B" w:rsidP="00BB572C">
      <w:pPr>
        <w:pStyle w:val="BodyText"/>
        <w:tabs>
          <w:tab w:val="left" w:pos="0"/>
        </w:tabs>
        <w:jc w:val="both"/>
        <w:rPr>
          <w:rFonts w:ascii="Arial" w:hAnsi="Arial" w:cs="Arial"/>
          <w:szCs w:val="20"/>
        </w:rPr>
      </w:pPr>
    </w:p>
    <w:p w:rsidR="002A662B" w:rsidRPr="002A662B" w:rsidRDefault="002A662B" w:rsidP="00BB572C">
      <w:pPr>
        <w:pStyle w:val="BodyText"/>
        <w:tabs>
          <w:tab w:val="left" w:pos="0"/>
        </w:tabs>
        <w:jc w:val="both"/>
        <w:rPr>
          <w:rFonts w:ascii="Arial" w:hAnsi="Arial" w:cs="Arial"/>
          <w:szCs w:val="20"/>
          <w:u w:val="single"/>
        </w:rPr>
      </w:pPr>
      <w:r w:rsidRPr="002A662B">
        <w:rPr>
          <w:rFonts w:ascii="Arial" w:hAnsi="Arial" w:cs="Arial"/>
          <w:szCs w:val="20"/>
          <w:u w:val="single"/>
        </w:rPr>
        <w:t>Six Education-Related Performance Measures:</w:t>
      </w:r>
    </w:p>
    <w:p w:rsidR="002A662B" w:rsidRDefault="002A662B" w:rsidP="00BB572C">
      <w:pPr>
        <w:pStyle w:val="BodyText"/>
        <w:tabs>
          <w:tab w:val="left" w:pos="0"/>
        </w:tabs>
        <w:jc w:val="both"/>
        <w:rPr>
          <w:rFonts w:ascii="Arial" w:hAnsi="Arial" w:cs="Arial"/>
          <w:szCs w:val="20"/>
        </w:rPr>
      </w:pPr>
    </w:p>
    <w:p w:rsidR="004572FB" w:rsidRDefault="004572FB" w:rsidP="00BB572C">
      <w:pPr>
        <w:pStyle w:val="BodyText"/>
        <w:tabs>
          <w:tab w:val="left" w:pos="0"/>
        </w:tabs>
        <w:jc w:val="both"/>
        <w:rPr>
          <w:rFonts w:ascii="Arial" w:hAnsi="Arial" w:cs="Arial"/>
          <w:szCs w:val="20"/>
        </w:rPr>
      </w:pPr>
      <w:r>
        <w:rPr>
          <w:rFonts w:ascii="Arial" w:hAnsi="Arial" w:cs="Arial"/>
          <w:szCs w:val="20"/>
        </w:rPr>
        <w:t>The</w:t>
      </w:r>
      <w:r w:rsidR="00515F1F">
        <w:rPr>
          <w:rFonts w:ascii="Arial" w:hAnsi="Arial" w:cs="Arial"/>
          <w:szCs w:val="20"/>
        </w:rPr>
        <w:t>se</w:t>
      </w:r>
      <w:r>
        <w:rPr>
          <w:rFonts w:ascii="Arial" w:hAnsi="Arial" w:cs="Arial"/>
          <w:szCs w:val="20"/>
        </w:rPr>
        <w:t xml:space="preserve"> are </w:t>
      </w:r>
      <w:r w:rsidR="00515F1F">
        <w:rPr>
          <w:rFonts w:ascii="Arial" w:hAnsi="Arial" w:cs="Arial"/>
          <w:szCs w:val="20"/>
        </w:rPr>
        <w:t xml:space="preserve">the </w:t>
      </w:r>
      <w:r>
        <w:rPr>
          <w:rFonts w:ascii="Arial" w:hAnsi="Arial" w:cs="Arial"/>
          <w:szCs w:val="20"/>
        </w:rPr>
        <w:t>six education-related measures:</w:t>
      </w:r>
    </w:p>
    <w:p w:rsidR="004572FB" w:rsidRPr="00C6604A" w:rsidRDefault="004572FB" w:rsidP="001F5657">
      <w:pPr>
        <w:pStyle w:val="NormalWeb"/>
        <w:jc w:val="both"/>
        <w:rPr>
          <w:rFonts w:ascii="Arial" w:hAnsi="Arial" w:cs="Arial"/>
        </w:rPr>
      </w:pPr>
      <w:r w:rsidRPr="00C6604A">
        <w:rPr>
          <w:rFonts w:ascii="Arial" w:hAnsi="Arial" w:cs="Arial"/>
        </w:rPr>
        <w:t xml:space="preserve">1. </w:t>
      </w:r>
      <w:r w:rsidR="009A0284">
        <w:rPr>
          <w:rFonts w:ascii="Arial" w:hAnsi="Arial" w:cs="Arial"/>
        </w:rPr>
        <w:t xml:space="preserve">HEADCOUNT - </w:t>
      </w:r>
      <w:r w:rsidRPr="00C6604A">
        <w:rPr>
          <w:rFonts w:ascii="Arial" w:hAnsi="Arial" w:cs="Arial"/>
        </w:rPr>
        <w:t xml:space="preserve">Institution meets at least 95 percent of its State Council-approved biennial projections for in-state </w:t>
      </w:r>
      <w:r w:rsidRPr="009A0284">
        <w:rPr>
          <w:rFonts w:ascii="Arial" w:hAnsi="Arial" w:cs="Arial"/>
        </w:rPr>
        <w:t>undergraduate headcount</w:t>
      </w:r>
      <w:r w:rsidRPr="00C6604A">
        <w:rPr>
          <w:rFonts w:ascii="Arial" w:hAnsi="Arial" w:cs="Arial"/>
        </w:rPr>
        <w:t xml:space="preserve"> enrollment.</w:t>
      </w:r>
    </w:p>
    <w:p w:rsidR="004572FB" w:rsidRPr="00C6604A" w:rsidRDefault="004572FB" w:rsidP="001F5657">
      <w:pPr>
        <w:pStyle w:val="NormalWeb"/>
        <w:jc w:val="both"/>
        <w:rPr>
          <w:rFonts w:ascii="Arial" w:hAnsi="Arial" w:cs="Arial"/>
        </w:rPr>
      </w:pPr>
      <w:r w:rsidRPr="00C6604A">
        <w:rPr>
          <w:rFonts w:ascii="Arial" w:hAnsi="Arial" w:cs="Arial"/>
        </w:rPr>
        <w:lastRenderedPageBreak/>
        <w:t xml:space="preserve">2. </w:t>
      </w:r>
      <w:r w:rsidR="009A0284">
        <w:rPr>
          <w:rFonts w:ascii="Arial" w:hAnsi="Arial" w:cs="Arial"/>
        </w:rPr>
        <w:t xml:space="preserve">DEGREE AWARDS - </w:t>
      </w:r>
      <w:r w:rsidRPr="00C6604A">
        <w:rPr>
          <w:rFonts w:ascii="Arial" w:hAnsi="Arial" w:cs="Arial"/>
        </w:rPr>
        <w:t xml:space="preserve">Institution meets at least 95 percent of its State Council-approved biennial projections for the number of in-state associate and bachelor </w:t>
      </w:r>
      <w:r w:rsidRPr="009A0284">
        <w:rPr>
          <w:rFonts w:ascii="Arial" w:hAnsi="Arial" w:cs="Arial"/>
        </w:rPr>
        <w:t>degree awards.</w:t>
      </w:r>
    </w:p>
    <w:p w:rsidR="004572FB" w:rsidRPr="00C6604A" w:rsidRDefault="004572FB" w:rsidP="001F5657">
      <w:pPr>
        <w:pStyle w:val="NormalWeb"/>
        <w:jc w:val="both"/>
        <w:rPr>
          <w:rFonts w:ascii="Arial" w:hAnsi="Arial" w:cs="Arial"/>
        </w:rPr>
      </w:pPr>
      <w:r w:rsidRPr="00C6604A">
        <w:rPr>
          <w:rFonts w:ascii="Arial" w:hAnsi="Arial" w:cs="Arial"/>
        </w:rPr>
        <w:t xml:space="preserve">3. </w:t>
      </w:r>
      <w:r w:rsidR="009A0284">
        <w:rPr>
          <w:rFonts w:ascii="Arial" w:hAnsi="Arial" w:cs="Arial"/>
        </w:rPr>
        <w:t xml:space="preserve">STEM-H DEGREE AWARDS - </w:t>
      </w:r>
      <w:r w:rsidRPr="00C6604A">
        <w:rPr>
          <w:rFonts w:ascii="Arial" w:hAnsi="Arial" w:cs="Arial"/>
        </w:rPr>
        <w:t xml:space="preserve">Institution meets at least 95 percent of its State Council-approved biennial projections for the number of in-state </w:t>
      </w:r>
      <w:r w:rsidRPr="009A0284">
        <w:rPr>
          <w:rFonts w:ascii="Arial" w:hAnsi="Arial" w:cs="Arial"/>
        </w:rPr>
        <w:t>STEM-H (</w:t>
      </w:r>
      <w:r w:rsidRPr="00C6604A">
        <w:rPr>
          <w:rFonts w:ascii="Arial" w:hAnsi="Arial" w:cs="Arial"/>
        </w:rPr>
        <w:t>Science, Techn</w:t>
      </w:r>
      <w:r>
        <w:rPr>
          <w:rFonts w:ascii="Arial" w:hAnsi="Arial" w:cs="Arial"/>
        </w:rPr>
        <w:t>ology, Engineering, Mathematics</w:t>
      </w:r>
      <w:r w:rsidRPr="00C6604A">
        <w:rPr>
          <w:rFonts w:ascii="Arial" w:hAnsi="Arial" w:cs="Arial"/>
        </w:rPr>
        <w:t xml:space="preserve"> and Health professions) associate and bachelor </w:t>
      </w:r>
      <w:r w:rsidRPr="009A0284">
        <w:rPr>
          <w:rFonts w:ascii="Arial" w:hAnsi="Arial" w:cs="Arial"/>
        </w:rPr>
        <w:t>degree awards</w:t>
      </w:r>
      <w:r w:rsidRPr="00C6604A">
        <w:rPr>
          <w:rFonts w:ascii="Arial" w:hAnsi="Arial" w:cs="Arial"/>
        </w:rPr>
        <w:t>.</w:t>
      </w:r>
    </w:p>
    <w:p w:rsidR="004572FB" w:rsidRPr="00C6604A" w:rsidRDefault="004572FB" w:rsidP="001F5657">
      <w:pPr>
        <w:pStyle w:val="NormalWeb"/>
        <w:jc w:val="both"/>
        <w:rPr>
          <w:rFonts w:ascii="Arial" w:hAnsi="Arial" w:cs="Arial"/>
        </w:rPr>
      </w:pPr>
      <w:r w:rsidRPr="00C6604A">
        <w:rPr>
          <w:rFonts w:ascii="Arial" w:hAnsi="Arial" w:cs="Arial"/>
        </w:rPr>
        <w:t xml:space="preserve">4. </w:t>
      </w:r>
      <w:r w:rsidR="009A0284">
        <w:rPr>
          <w:rFonts w:ascii="Arial" w:hAnsi="Arial" w:cs="Arial"/>
        </w:rPr>
        <w:t xml:space="preserve">PROGESSION AND RETENTION - </w:t>
      </w:r>
      <w:r w:rsidRPr="00C6604A">
        <w:rPr>
          <w:rFonts w:ascii="Arial" w:hAnsi="Arial" w:cs="Arial"/>
        </w:rPr>
        <w:t xml:space="preserve">Institution meets at least 95 percent of its State Council-approved biennial projections for the number of </w:t>
      </w:r>
      <w:r w:rsidRPr="009A0284">
        <w:rPr>
          <w:rFonts w:ascii="Arial" w:hAnsi="Arial" w:cs="Arial"/>
        </w:rPr>
        <w:t>in-state, upper level</w:t>
      </w:r>
      <w:r w:rsidRPr="00C6604A">
        <w:rPr>
          <w:rFonts w:ascii="Arial" w:hAnsi="Arial" w:cs="Arial"/>
        </w:rPr>
        <w:t xml:space="preserve"> - sophomore level for two-year institutions and junior and senior level for four-year institutions - program-placed, full-time equivalent students.</w:t>
      </w:r>
    </w:p>
    <w:p w:rsidR="004572FB" w:rsidRPr="00C6604A" w:rsidRDefault="004572FB" w:rsidP="001F5657">
      <w:pPr>
        <w:pStyle w:val="NormalWeb"/>
        <w:jc w:val="both"/>
        <w:rPr>
          <w:rFonts w:ascii="Arial" w:hAnsi="Arial" w:cs="Arial"/>
        </w:rPr>
      </w:pPr>
      <w:r w:rsidRPr="00C6604A">
        <w:rPr>
          <w:rFonts w:ascii="Arial" w:hAnsi="Arial" w:cs="Arial"/>
        </w:rPr>
        <w:t xml:space="preserve">5. </w:t>
      </w:r>
      <w:r w:rsidR="009A0284">
        <w:rPr>
          <w:rFonts w:ascii="Arial" w:hAnsi="Arial" w:cs="Arial"/>
        </w:rPr>
        <w:t xml:space="preserve">DEGREES FOR UNDER-REPRESENTED STUDENTS - </w:t>
      </w:r>
      <w:r w:rsidRPr="00C6604A">
        <w:rPr>
          <w:rFonts w:ascii="Arial" w:hAnsi="Arial" w:cs="Arial"/>
        </w:rPr>
        <w:t xml:space="preserve">Maintain or increase the number of in-state associate and bachelor degrees awarded to students from </w:t>
      </w:r>
      <w:r w:rsidRPr="00111642">
        <w:rPr>
          <w:rFonts w:ascii="Arial" w:hAnsi="Arial" w:cs="Arial"/>
        </w:rPr>
        <w:t>underrepresented</w:t>
      </w:r>
      <w:r w:rsidRPr="00C6604A">
        <w:rPr>
          <w:rFonts w:ascii="Arial" w:hAnsi="Arial" w:cs="Arial"/>
        </w:rPr>
        <w:t xml:space="preserve"> populations.</w:t>
      </w:r>
    </w:p>
    <w:p w:rsidR="004572FB" w:rsidRPr="00C6604A" w:rsidRDefault="004572FB" w:rsidP="001F5657">
      <w:pPr>
        <w:pStyle w:val="NormalWeb"/>
        <w:jc w:val="both"/>
        <w:rPr>
          <w:rFonts w:ascii="Arial" w:hAnsi="Arial" w:cs="Arial"/>
        </w:rPr>
      </w:pPr>
      <w:r w:rsidRPr="00C6604A">
        <w:rPr>
          <w:rFonts w:ascii="Arial" w:hAnsi="Arial" w:cs="Arial"/>
        </w:rPr>
        <w:t xml:space="preserve">6. </w:t>
      </w:r>
      <w:r w:rsidR="009A0284">
        <w:rPr>
          <w:rFonts w:ascii="Arial" w:hAnsi="Arial" w:cs="Arial"/>
        </w:rPr>
        <w:t xml:space="preserve">TWO-YEAR TRANSFERS - </w:t>
      </w:r>
      <w:r w:rsidRPr="00C6604A">
        <w:rPr>
          <w:rFonts w:ascii="Arial" w:hAnsi="Arial" w:cs="Arial"/>
        </w:rPr>
        <w:t xml:space="preserve">Maintain or increase the number of in-state two-year </w:t>
      </w:r>
      <w:r w:rsidRPr="00111642">
        <w:rPr>
          <w:rFonts w:ascii="Arial" w:hAnsi="Arial" w:cs="Arial"/>
        </w:rPr>
        <w:t>transfers</w:t>
      </w:r>
      <w:r w:rsidRPr="00C6604A">
        <w:rPr>
          <w:rFonts w:ascii="Arial" w:hAnsi="Arial" w:cs="Arial"/>
        </w:rPr>
        <w:t xml:space="preserve"> to four-year institutions.</w:t>
      </w:r>
    </w:p>
    <w:p w:rsidR="009A0284" w:rsidRDefault="003769D2" w:rsidP="00BB572C">
      <w:pPr>
        <w:pStyle w:val="BodyText"/>
        <w:jc w:val="both"/>
        <w:rPr>
          <w:rFonts w:ascii="Arial" w:hAnsi="Arial" w:cs="Arial"/>
          <w:szCs w:val="20"/>
        </w:rPr>
      </w:pPr>
      <w:r>
        <w:rPr>
          <w:rFonts w:ascii="Arial" w:hAnsi="Arial" w:cs="Arial"/>
          <w:szCs w:val="20"/>
        </w:rPr>
        <w:t>As</w:t>
      </w:r>
      <w:r w:rsidR="001910A0">
        <w:rPr>
          <w:rFonts w:ascii="Arial" w:hAnsi="Arial" w:cs="Arial"/>
          <w:szCs w:val="20"/>
        </w:rPr>
        <w:t xml:space="preserve"> discussed at the Resources and Planning Committee meeting in July, s</w:t>
      </w:r>
      <w:r w:rsidR="00515F1F">
        <w:rPr>
          <w:rFonts w:ascii="Arial" w:hAnsi="Arial" w:cs="Arial"/>
          <w:szCs w:val="20"/>
        </w:rPr>
        <w:t>ystemwide a</w:t>
      </w:r>
      <w:r w:rsidR="00434AC8">
        <w:rPr>
          <w:rFonts w:ascii="Arial" w:hAnsi="Arial" w:cs="Arial"/>
          <w:szCs w:val="20"/>
        </w:rPr>
        <w:t xml:space="preserve">ll six measures were achieved. </w:t>
      </w:r>
      <w:r w:rsidR="009A0284">
        <w:rPr>
          <w:rFonts w:ascii="Arial" w:hAnsi="Arial" w:cs="Arial"/>
          <w:szCs w:val="20"/>
        </w:rPr>
        <w:t>Table I contains the aggregate information.</w:t>
      </w:r>
      <w:r w:rsidR="009A0284">
        <w:rPr>
          <w:rFonts w:ascii="Arial" w:hAnsi="Arial" w:cs="Arial"/>
          <w:szCs w:val="20"/>
        </w:rPr>
        <w:br w:type="page"/>
      </w:r>
    </w:p>
    <w:p w:rsidR="00053FA6" w:rsidRDefault="00AF07FE">
      <w:pPr>
        <w:rPr>
          <w:rFonts w:ascii="Arial" w:hAnsi="Arial" w:cs="Arial"/>
        </w:rPr>
      </w:pPr>
      <w:r w:rsidRPr="00AF07FE">
        <w:rPr>
          <w:noProof/>
        </w:rPr>
        <w:drawing>
          <wp:inline distT="0" distB="0" distL="0" distR="0" wp14:anchorId="57705778" wp14:editId="0BD87F0C">
            <wp:extent cx="5806440" cy="3941837"/>
            <wp:effectExtent l="0" t="0" r="3810" b="1905"/>
            <wp:docPr id="7" name="Picture 7" descr="This table provides aggregate information for the six general measures by year and measure." title="Results for Six General Institutional Performanc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40" cy="3941837"/>
                    </a:xfrm>
                    <a:prstGeom prst="rect">
                      <a:avLst/>
                    </a:prstGeom>
                    <a:noFill/>
                    <a:ln>
                      <a:noFill/>
                    </a:ln>
                  </pic:spPr>
                </pic:pic>
              </a:graphicData>
            </a:graphic>
          </wp:inline>
        </w:drawing>
      </w:r>
    </w:p>
    <w:p w:rsidR="00007FC2" w:rsidRDefault="00007FC2">
      <w:pPr>
        <w:rPr>
          <w:rFonts w:ascii="Arial" w:hAnsi="Arial" w:cs="Arial"/>
        </w:rPr>
      </w:pPr>
    </w:p>
    <w:p w:rsidR="00007FC2" w:rsidRDefault="00007FC2" w:rsidP="00007FC2">
      <w:pPr>
        <w:pStyle w:val="BodyText"/>
        <w:jc w:val="both"/>
        <w:rPr>
          <w:rFonts w:ascii="Arial" w:hAnsi="Arial" w:cs="Arial"/>
          <w:szCs w:val="20"/>
        </w:rPr>
      </w:pPr>
    </w:p>
    <w:p w:rsidR="001B46A3" w:rsidRDefault="00847ABC" w:rsidP="00BC33E2">
      <w:pPr>
        <w:pStyle w:val="BodyText"/>
        <w:jc w:val="both"/>
        <w:rPr>
          <w:rFonts w:ascii="Arial" w:hAnsi="Arial" w:cs="Arial"/>
          <w:szCs w:val="20"/>
        </w:rPr>
      </w:pPr>
      <w:r>
        <w:rPr>
          <w:rFonts w:ascii="Arial" w:hAnsi="Arial" w:cs="Arial"/>
          <w:szCs w:val="20"/>
        </w:rPr>
        <w:t xml:space="preserve">Table 2 contains the results at the institutional level along with staff recommendations regarding the findings. </w:t>
      </w:r>
    </w:p>
    <w:p w:rsidR="001B46A3" w:rsidRDefault="00AF07FE" w:rsidP="00BC33E2">
      <w:pPr>
        <w:pStyle w:val="BodyText"/>
        <w:jc w:val="both"/>
        <w:rPr>
          <w:rFonts w:ascii="Arial" w:hAnsi="Arial" w:cs="Arial"/>
          <w:szCs w:val="20"/>
        </w:rPr>
      </w:pPr>
      <w:r w:rsidRPr="00AF07FE">
        <w:rPr>
          <w:noProof/>
        </w:rPr>
        <w:drawing>
          <wp:inline distT="0" distB="0" distL="0" distR="0" wp14:anchorId="0B8EAAC8" wp14:editId="7B3A6FB4">
            <wp:extent cx="5806440" cy="5189198"/>
            <wp:effectExtent l="0" t="0" r="0" b="0"/>
            <wp:docPr id="8" name="Picture 8" descr="This table provides assessment results by performance measure and institution along with staff's recommendations." title="Biennial Assessment Results by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440" cy="5189198"/>
                    </a:xfrm>
                    <a:prstGeom prst="rect">
                      <a:avLst/>
                    </a:prstGeom>
                    <a:noFill/>
                    <a:ln>
                      <a:noFill/>
                    </a:ln>
                  </pic:spPr>
                </pic:pic>
              </a:graphicData>
            </a:graphic>
          </wp:inline>
        </w:drawing>
      </w:r>
    </w:p>
    <w:p w:rsidR="001B46A3" w:rsidRDefault="001B46A3" w:rsidP="00BC33E2">
      <w:pPr>
        <w:pStyle w:val="BodyText"/>
        <w:jc w:val="both"/>
        <w:rPr>
          <w:rFonts w:ascii="Arial" w:hAnsi="Arial" w:cs="Arial"/>
          <w:szCs w:val="20"/>
        </w:rPr>
      </w:pPr>
    </w:p>
    <w:p w:rsidR="001B46A3" w:rsidRDefault="004A6E13" w:rsidP="001B46A3">
      <w:pPr>
        <w:pStyle w:val="BodyText"/>
        <w:jc w:val="both"/>
        <w:rPr>
          <w:rFonts w:ascii="Arial" w:hAnsi="Arial" w:cs="Arial"/>
          <w:szCs w:val="20"/>
        </w:rPr>
      </w:pPr>
      <w:r>
        <w:rPr>
          <w:rFonts w:ascii="Arial" w:hAnsi="Arial" w:cs="Arial"/>
          <w:szCs w:val="20"/>
        </w:rPr>
        <w:t>S</w:t>
      </w:r>
      <w:r w:rsidR="00FE3DBE">
        <w:rPr>
          <w:rFonts w:ascii="Arial" w:hAnsi="Arial" w:cs="Arial"/>
          <w:szCs w:val="20"/>
        </w:rPr>
        <w:t>even</w:t>
      </w:r>
      <w:r w:rsidR="001B46A3">
        <w:rPr>
          <w:rFonts w:ascii="Arial" w:hAnsi="Arial" w:cs="Arial"/>
          <w:szCs w:val="20"/>
        </w:rPr>
        <w:t xml:space="preserve"> institutions achieved all six measures without any issues. Five of these institutions had achieved all measures for the 201</w:t>
      </w:r>
      <w:r w:rsidR="00434AC8">
        <w:rPr>
          <w:rFonts w:ascii="Arial" w:hAnsi="Arial" w:cs="Arial"/>
          <w:szCs w:val="20"/>
        </w:rPr>
        <w:t xml:space="preserve">6 Biennial Assessment as well. </w:t>
      </w:r>
      <w:r w:rsidR="001B46A3">
        <w:rPr>
          <w:rFonts w:ascii="Arial" w:hAnsi="Arial" w:cs="Arial"/>
          <w:szCs w:val="20"/>
        </w:rPr>
        <w:t>These institutions are George Mason University (GMU), James Madison University (JMU), Radford University (RU), Univ</w:t>
      </w:r>
      <w:r w:rsidR="00BB572C">
        <w:rPr>
          <w:rFonts w:ascii="Arial" w:hAnsi="Arial" w:cs="Arial"/>
          <w:szCs w:val="20"/>
        </w:rPr>
        <w:t xml:space="preserve">ersity of Mary Washington (UMW) and Virginia Tech (VT). </w:t>
      </w:r>
      <w:r w:rsidR="001B46A3">
        <w:rPr>
          <w:rFonts w:ascii="Arial" w:hAnsi="Arial" w:cs="Arial"/>
          <w:szCs w:val="20"/>
        </w:rPr>
        <w:t>The other</w:t>
      </w:r>
      <w:r w:rsidR="001B46A3" w:rsidRPr="00BC33E2">
        <w:rPr>
          <w:rFonts w:ascii="Arial" w:hAnsi="Arial" w:cs="Arial"/>
          <w:szCs w:val="20"/>
        </w:rPr>
        <w:t xml:space="preserve"> </w:t>
      </w:r>
      <w:r w:rsidR="00FE3DBE">
        <w:rPr>
          <w:rFonts w:ascii="Arial" w:hAnsi="Arial" w:cs="Arial"/>
          <w:szCs w:val="20"/>
        </w:rPr>
        <w:t xml:space="preserve">two </w:t>
      </w:r>
      <w:r w:rsidR="001B46A3" w:rsidRPr="00BC33E2">
        <w:rPr>
          <w:rFonts w:ascii="Arial" w:hAnsi="Arial" w:cs="Arial"/>
          <w:szCs w:val="20"/>
        </w:rPr>
        <w:t>institution</w:t>
      </w:r>
      <w:r w:rsidR="00FE3DBE">
        <w:rPr>
          <w:rFonts w:ascii="Arial" w:hAnsi="Arial" w:cs="Arial"/>
          <w:szCs w:val="20"/>
        </w:rPr>
        <w:t>s</w:t>
      </w:r>
      <w:r w:rsidR="001B46A3" w:rsidRPr="00BC33E2">
        <w:rPr>
          <w:rFonts w:ascii="Arial" w:hAnsi="Arial" w:cs="Arial"/>
          <w:szCs w:val="20"/>
        </w:rPr>
        <w:t xml:space="preserve">, </w:t>
      </w:r>
      <w:r w:rsidR="00FE3DBE">
        <w:rPr>
          <w:rFonts w:ascii="Arial" w:hAnsi="Arial" w:cs="Arial"/>
          <w:szCs w:val="20"/>
        </w:rPr>
        <w:t xml:space="preserve">College of William and Mary (CWM) and </w:t>
      </w:r>
      <w:r w:rsidR="001B46A3" w:rsidRPr="00BC33E2">
        <w:rPr>
          <w:rFonts w:ascii="Arial" w:hAnsi="Arial" w:cs="Arial"/>
          <w:szCs w:val="20"/>
        </w:rPr>
        <w:t>Old Dominion University (ODU)</w:t>
      </w:r>
      <w:r w:rsidR="001B46A3">
        <w:rPr>
          <w:rFonts w:ascii="Arial" w:hAnsi="Arial" w:cs="Arial"/>
          <w:szCs w:val="20"/>
        </w:rPr>
        <w:t>,</w:t>
      </w:r>
      <w:r w:rsidR="001B46A3" w:rsidRPr="00BC33E2">
        <w:rPr>
          <w:rFonts w:ascii="Arial" w:hAnsi="Arial" w:cs="Arial"/>
          <w:szCs w:val="20"/>
        </w:rPr>
        <w:t xml:space="preserve"> had one deficiency in the 2016 assessment but no deficiencies in the 2018 assessment.</w:t>
      </w:r>
    </w:p>
    <w:p w:rsidR="001B46A3" w:rsidRDefault="001B46A3" w:rsidP="001B46A3">
      <w:pPr>
        <w:pStyle w:val="BodyText"/>
        <w:jc w:val="both"/>
        <w:rPr>
          <w:rFonts w:ascii="Arial" w:hAnsi="Arial" w:cs="Arial"/>
          <w:szCs w:val="20"/>
        </w:rPr>
      </w:pPr>
    </w:p>
    <w:p w:rsidR="001B46A3" w:rsidRDefault="004A6E13" w:rsidP="001B46A3">
      <w:pPr>
        <w:pStyle w:val="BodyText"/>
        <w:jc w:val="both"/>
        <w:rPr>
          <w:rFonts w:ascii="Arial" w:hAnsi="Arial" w:cs="Arial"/>
          <w:szCs w:val="20"/>
        </w:rPr>
      </w:pPr>
      <w:r>
        <w:rPr>
          <w:rFonts w:ascii="Arial" w:hAnsi="Arial" w:cs="Arial"/>
          <w:szCs w:val="20"/>
        </w:rPr>
        <w:t>For</w:t>
      </w:r>
      <w:r w:rsidR="001B46A3">
        <w:rPr>
          <w:rFonts w:ascii="Arial" w:hAnsi="Arial" w:cs="Arial"/>
          <w:szCs w:val="20"/>
        </w:rPr>
        <w:t xml:space="preserve"> </w:t>
      </w:r>
      <w:r w:rsidR="00FE3DBE">
        <w:rPr>
          <w:rFonts w:ascii="Arial" w:hAnsi="Arial" w:cs="Arial"/>
          <w:szCs w:val="20"/>
        </w:rPr>
        <w:t>eight</w:t>
      </w:r>
      <w:r w:rsidR="001B46A3">
        <w:rPr>
          <w:rFonts w:ascii="Arial" w:hAnsi="Arial" w:cs="Arial"/>
          <w:szCs w:val="20"/>
        </w:rPr>
        <w:t xml:space="preserve"> other institutions</w:t>
      </w:r>
      <w:r>
        <w:rPr>
          <w:rFonts w:ascii="Arial" w:hAnsi="Arial" w:cs="Arial"/>
          <w:szCs w:val="20"/>
        </w:rPr>
        <w:t xml:space="preserve">, </w:t>
      </w:r>
      <w:r w:rsidR="001B46A3">
        <w:rPr>
          <w:rFonts w:ascii="Arial" w:hAnsi="Arial" w:cs="Arial"/>
          <w:szCs w:val="20"/>
        </w:rPr>
        <w:t>staff recommends that feedback about their deficiencies,</w:t>
      </w:r>
      <w:r w:rsidR="001B46A3" w:rsidRPr="008B20E9">
        <w:rPr>
          <w:rFonts w:ascii="Arial" w:hAnsi="Arial" w:cs="Arial"/>
          <w:szCs w:val="20"/>
        </w:rPr>
        <w:t xml:space="preserve"> </w:t>
      </w:r>
      <w:r w:rsidR="001B46A3">
        <w:rPr>
          <w:rFonts w:ascii="Arial" w:hAnsi="Arial" w:cs="Arial"/>
          <w:szCs w:val="20"/>
        </w:rPr>
        <w:t xml:space="preserve">which already has been received from the institutions, </w:t>
      </w:r>
      <w:r w:rsidR="009B1A23">
        <w:rPr>
          <w:rFonts w:ascii="Arial" w:hAnsi="Arial" w:cs="Arial"/>
          <w:szCs w:val="20"/>
        </w:rPr>
        <w:t>is</w:t>
      </w:r>
      <w:r w:rsidR="001B46A3">
        <w:rPr>
          <w:rFonts w:ascii="Arial" w:hAnsi="Arial" w:cs="Arial"/>
          <w:szCs w:val="20"/>
        </w:rPr>
        <w:t xml:space="preserve"> accepted wi</w:t>
      </w:r>
      <w:r w:rsidR="00BB572C">
        <w:rPr>
          <w:rFonts w:ascii="Arial" w:hAnsi="Arial" w:cs="Arial"/>
          <w:szCs w:val="20"/>
        </w:rPr>
        <w:t xml:space="preserve">thout additional requirements. </w:t>
      </w:r>
      <w:r w:rsidR="004F6E41">
        <w:rPr>
          <w:rFonts w:ascii="Arial" w:hAnsi="Arial" w:cs="Arial"/>
          <w:szCs w:val="20"/>
        </w:rPr>
        <w:t>These institutions include Christopher Newport University (CNU), Longwood University (LU), University of Virginia (UVA), University of Virginia’s College at Wise (UVA-W)</w:t>
      </w:r>
      <w:r w:rsidR="001B12D6">
        <w:rPr>
          <w:rFonts w:ascii="Arial" w:hAnsi="Arial" w:cs="Arial"/>
          <w:szCs w:val="20"/>
        </w:rPr>
        <w:t>, Virginia</w:t>
      </w:r>
      <w:r w:rsidR="004F6E41">
        <w:rPr>
          <w:rFonts w:ascii="Arial" w:hAnsi="Arial" w:cs="Arial"/>
          <w:szCs w:val="20"/>
        </w:rPr>
        <w:t xml:space="preserve"> Commonwealth University (VCU), Virginia Community College System (VCCS)</w:t>
      </w:r>
      <w:r w:rsidR="00FE3DBE">
        <w:rPr>
          <w:rFonts w:ascii="Arial" w:hAnsi="Arial" w:cs="Arial"/>
          <w:szCs w:val="20"/>
        </w:rPr>
        <w:t>, Vi</w:t>
      </w:r>
      <w:r w:rsidR="00BB572C">
        <w:rPr>
          <w:rFonts w:ascii="Arial" w:hAnsi="Arial" w:cs="Arial"/>
          <w:szCs w:val="20"/>
        </w:rPr>
        <w:t>rginia Military Institute (VMI)</w:t>
      </w:r>
      <w:r w:rsidR="004F6E41">
        <w:rPr>
          <w:rFonts w:ascii="Arial" w:hAnsi="Arial" w:cs="Arial"/>
          <w:szCs w:val="20"/>
        </w:rPr>
        <w:t xml:space="preserve"> and Virginia State </w:t>
      </w:r>
      <w:r w:rsidR="00434AC8">
        <w:rPr>
          <w:rFonts w:ascii="Arial" w:hAnsi="Arial" w:cs="Arial"/>
          <w:szCs w:val="20"/>
        </w:rPr>
        <w:t xml:space="preserve">University. </w:t>
      </w:r>
      <w:r w:rsidR="001B46A3">
        <w:rPr>
          <w:rFonts w:ascii="Arial" w:hAnsi="Arial" w:cs="Arial"/>
          <w:szCs w:val="20"/>
        </w:rPr>
        <w:t>For these institutions, situations include:</w:t>
      </w:r>
    </w:p>
    <w:p w:rsidR="001B46A3" w:rsidRDefault="001B46A3" w:rsidP="001B46A3">
      <w:pPr>
        <w:pStyle w:val="BodyText"/>
        <w:jc w:val="both"/>
        <w:rPr>
          <w:rFonts w:ascii="Arial" w:hAnsi="Arial" w:cs="Arial"/>
          <w:szCs w:val="20"/>
        </w:rPr>
      </w:pPr>
    </w:p>
    <w:p w:rsidR="001B46A3" w:rsidRDefault="001B46A3" w:rsidP="001B46A3">
      <w:pPr>
        <w:pStyle w:val="BodyText"/>
        <w:numPr>
          <w:ilvl w:val="0"/>
          <w:numId w:val="9"/>
        </w:numPr>
        <w:jc w:val="both"/>
        <w:rPr>
          <w:rFonts w:ascii="Arial" w:hAnsi="Arial" w:cs="Arial"/>
          <w:szCs w:val="20"/>
        </w:rPr>
      </w:pPr>
      <w:r>
        <w:rPr>
          <w:rFonts w:ascii="Arial" w:hAnsi="Arial" w:cs="Arial"/>
          <w:szCs w:val="20"/>
        </w:rPr>
        <w:t>Deficiencies in the first year of the review period, 2014-15, that were remedied by the second year of the review period, 2016-17.</w:t>
      </w:r>
      <w:r w:rsidR="004F6E41">
        <w:rPr>
          <w:rFonts w:ascii="Arial" w:hAnsi="Arial" w:cs="Arial"/>
          <w:szCs w:val="20"/>
        </w:rPr>
        <w:t xml:space="preserve"> </w:t>
      </w:r>
    </w:p>
    <w:p w:rsidR="001B46A3" w:rsidRDefault="001B46A3" w:rsidP="001B46A3">
      <w:pPr>
        <w:pStyle w:val="BodyText"/>
        <w:numPr>
          <w:ilvl w:val="0"/>
          <w:numId w:val="9"/>
        </w:numPr>
        <w:jc w:val="both"/>
        <w:rPr>
          <w:rFonts w:ascii="Arial" w:hAnsi="Arial" w:cs="Arial"/>
          <w:szCs w:val="20"/>
        </w:rPr>
      </w:pPr>
      <w:r>
        <w:rPr>
          <w:rFonts w:ascii="Arial" w:hAnsi="Arial" w:cs="Arial"/>
          <w:szCs w:val="20"/>
        </w:rPr>
        <w:t>Baseline comparison figures for Performance Measure 6 (transfers) that have been difficult for certain institutions to match.</w:t>
      </w:r>
    </w:p>
    <w:p w:rsidR="001B46A3" w:rsidRDefault="001B46A3" w:rsidP="001B46A3">
      <w:pPr>
        <w:pStyle w:val="BodyText"/>
        <w:numPr>
          <w:ilvl w:val="0"/>
          <w:numId w:val="9"/>
        </w:numPr>
        <w:jc w:val="both"/>
        <w:rPr>
          <w:rFonts w:ascii="Arial" w:hAnsi="Arial" w:cs="Arial"/>
          <w:szCs w:val="20"/>
        </w:rPr>
      </w:pPr>
      <w:r>
        <w:rPr>
          <w:rFonts w:ascii="Arial" w:hAnsi="Arial" w:cs="Arial"/>
          <w:szCs w:val="20"/>
        </w:rPr>
        <w:t>Enrollment deficiencies identified in the 2016 Biennial Assessment that were expected to continue to impact the results in 2018.</w:t>
      </w:r>
    </w:p>
    <w:p w:rsidR="001B46A3" w:rsidRDefault="001B46A3" w:rsidP="001B46A3">
      <w:pPr>
        <w:pStyle w:val="BodyText"/>
        <w:numPr>
          <w:ilvl w:val="0"/>
          <w:numId w:val="9"/>
        </w:numPr>
        <w:jc w:val="both"/>
        <w:rPr>
          <w:rFonts w:ascii="Arial" w:hAnsi="Arial" w:cs="Arial"/>
          <w:szCs w:val="20"/>
        </w:rPr>
      </w:pPr>
      <w:r>
        <w:rPr>
          <w:rFonts w:ascii="Arial" w:hAnsi="Arial" w:cs="Arial"/>
          <w:szCs w:val="20"/>
        </w:rPr>
        <w:t>An internal definition change by one of the institutions that was identified in 2016, continued to impact results in 2018, but is expected to be resolved in the 2020 assessment.</w:t>
      </w:r>
    </w:p>
    <w:p w:rsidR="001B46A3" w:rsidRDefault="001B46A3" w:rsidP="001B46A3">
      <w:pPr>
        <w:pStyle w:val="BodyText"/>
        <w:jc w:val="both"/>
        <w:rPr>
          <w:rFonts w:ascii="Arial" w:hAnsi="Arial" w:cs="Arial"/>
          <w:szCs w:val="20"/>
        </w:rPr>
      </w:pPr>
    </w:p>
    <w:p w:rsidR="00175898" w:rsidRDefault="00847ABC" w:rsidP="00175898">
      <w:pPr>
        <w:pStyle w:val="BodyText"/>
        <w:jc w:val="both"/>
        <w:rPr>
          <w:rFonts w:ascii="Arial" w:hAnsi="Arial" w:cs="Arial"/>
          <w:szCs w:val="20"/>
        </w:rPr>
      </w:pPr>
      <w:r>
        <w:rPr>
          <w:rFonts w:ascii="Arial" w:hAnsi="Arial" w:cs="Arial"/>
          <w:szCs w:val="20"/>
        </w:rPr>
        <w:t>Norfolk State University (NSU) and Richard Bland College (RBC)</w:t>
      </w:r>
      <w:r w:rsidR="00175898">
        <w:rPr>
          <w:rFonts w:ascii="Arial" w:hAnsi="Arial" w:cs="Arial"/>
          <w:szCs w:val="20"/>
        </w:rPr>
        <w:t xml:space="preserve"> </w:t>
      </w:r>
      <w:r w:rsidR="00F41332">
        <w:rPr>
          <w:rFonts w:ascii="Arial" w:hAnsi="Arial" w:cs="Arial"/>
          <w:szCs w:val="20"/>
        </w:rPr>
        <w:t>are</w:t>
      </w:r>
      <w:r>
        <w:rPr>
          <w:rFonts w:ascii="Arial" w:hAnsi="Arial" w:cs="Arial"/>
          <w:szCs w:val="20"/>
        </w:rPr>
        <w:t xml:space="preserve"> the only</w:t>
      </w:r>
      <w:r w:rsidR="005B3B69">
        <w:rPr>
          <w:rFonts w:ascii="Arial" w:hAnsi="Arial" w:cs="Arial"/>
          <w:szCs w:val="20"/>
        </w:rPr>
        <w:t xml:space="preserve"> two</w:t>
      </w:r>
      <w:r>
        <w:rPr>
          <w:rFonts w:ascii="Arial" w:hAnsi="Arial" w:cs="Arial"/>
          <w:szCs w:val="20"/>
        </w:rPr>
        <w:t xml:space="preserve"> institutions that </w:t>
      </w:r>
      <w:r w:rsidR="00175898">
        <w:rPr>
          <w:rFonts w:ascii="Arial" w:hAnsi="Arial" w:cs="Arial"/>
          <w:szCs w:val="20"/>
        </w:rPr>
        <w:t xml:space="preserve">missed the thresholds for </w:t>
      </w:r>
      <w:r w:rsidR="004F6E41">
        <w:rPr>
          <w:rFonts w:ascii="Arial" w:hAnsi="Arial" w:cs="Arial"/>
          <w:szCs w:val="20"/>
        </w:rPr>
        <w:t>three</w:t>
      </w:r>
      <w:r w:rsidR="00175898">
        <w:rPr>
          <w:rFonts w:ascii="Arial" w:hAnsi="Arial" w:cs="Arial"/>
          <w:szCs w:val="20"/>
        </w:rPr>
        <w:t xml:space="preserve"> measures </w:t>
      </w:r>
      <w:r w:rsidR="005B3B69">
        <w:rPr>
          <w:rFonts w:ascii="Arial" w:hAnsi="Arial" w:cs="Arial"/>
          <w:szCs w:val="20"/>
        </w:rPr>
        <w:t>and</w:t>
      </w:r>
      <w:r w:rsidR="00175898">
        <w:rPr>
          <w:rFonts w:ascii="Arial" w:hAnsi="Arial" w:cs="Arial"/>
          <w:szCs w:val="20"/>
        </w:rPr>
        <w:t xml:space="preserve"> </w:t>
      </w:r>
      <w:r w:rsidR="005B3B69">
        <w:rPr>
          <w:rFonts w:ascii="Arial" w:hAnsi="Arial" w:cs="Arial"/>
          <w:szCs w:val="20"/>
        </w:rPr>
        <w:t>experienced a decline in performance for at least one of these measures from 2015-16 to 2016-17.</w:t>
      </w:r>
      <w:r w:rsidR="00175898">
        <w:rPr>
          <w:rFonts w:ascii="Arial" w:hAnsi="Arial" w:cs="Arial"/>
          <w:szCs w:val="20"/>
        </w:rPr>
        <w:t xml:space="preserve"> For these institutions, staff recommends the following:</w:t>
      </w:r>
    </w:p>
    <w:p w:rsidR="00175898" w:rsidRDefault="00175898" w:rsidP="00175898">
      <w:pPr>
        <w:pStyle w:val="BodyText"/>
        <w:jc w:val="both"/>
        <w:rPr>
          <w:rFonts w:ascii="Arial" w:hAnsi="Arial" w:cs="Arial"/>
          <w:szCs w:val="20"/>
        </w:rPr>
      </w:pPr>
    </w:p>
    <w:p w:rsidR="00175898" w:rsidRDefault="00175898" w:rsidP="00175898">
      <w:pPr>
        <w:pStyle w:val="BodyText"/>
        <w:numPr>
          <w:ilvl w:val="0"/>
          <w:numId w:val="11"/>
        </w:numPr>
        <w:jc w:val="both"/>
        <w:rPr>
          <w:rFonts w:ascii="Arial" w:hAnsi="Arial" w:cs="Arial"/>
          <w:szCs w:val="20"/>
        </w:rPr>
      </w:pPr>
      <w:r w:rsidRPr="00B867BD">
        <w:rPr>
          <w:rFonts w:ascii="Arial" w:hAnsi="Arial" w:cs="Arial"/>
          <w:szCs w:val="20"/>
        </w:rPr>
        <w:t>Norfolk State University (NSU):  NSU did not achieve Performance Measures</w:t>
      </w:r>
      <w:r>
        <w:rPr>
          <w:rFonts w:ascii="Arial" w:hAnsi="Arial" w:cs="Arial"/>
          <w:szCs w:val="20"/>
        </w:rPr>
        <w:t xml:space="preserve"> </w:t>
      </w:r>
      <w:r w:rsidRPr="00B867BD">
        <w:rPr>
          <w:rFonts w:ascii="Arial" w:hAnsi="Arial" w:cs="Arial"/>
          <w:szCs w:val="20"/>
        </w:rPr>
        <w:t>4</w:t>
      </w:r>
      <w:r>
        <w:rPr>
          <w:rFonts w:ascii="Arial" w:hAnsi="Arial" w:cs="Arial"/>
          <w:szCs w:val="20"/>
        </w:rPr>
        <w:t xml:space="preserve"> (second year)</w:t>
      </w:r>
      <w:r w:rsidR="00434AC8">
        <w:rPr>
          <w:rFonts w:ascii="Arial" w:hAnsi="Arial" w:cs="Arial"/>
          <w:szCs w:val="20"/>
        </w:rPr>
        <w:t xml:space="preserve">, 5 and 6. </w:t>
      </w:r>
      <w:r>
        <w:rPr>
          <w:rFonts w:ascii="Arial" w:hAnsi="Arial" w:cs="Arial"/>
          <w:szCs w:val="20"/>
        </w:rPr>
        <w:t>Based on feedback received from NSU staff, t</w:t>
      </w:r>
      <w:r w:rsidRPr="00B867BD">
        <w:rPr>
          <w:rFonts w:ascii="Arial" w:hAnsi="Arial" w:cs="Arial"/>
          <w:szCs w:val="20"/>
        </w:rPr>
        <w:t xml:space="preserve">he results for these measures were impacted by a decrease in enrollment after NSU was placed on probation by </w:t>
      </w:r>
      <w:r w:rsidR="00A01714">
        <w:rPr>
          <w:rFonts w:ascii="Arial" w:hAnsi="Arial" w:cs="Arial"/>
          <w:szCs w:val="20"/>
        </w:rPr>
        <w:t>The Commission on Colleges of the Southern Association of Colleges and Schools (</w:t>
      </w:r>
      <w:r w:rsidRPr="00B867BD">
        <w:rPr>
          <w:rFonts w:ascii="Arial" w:hAnsi="Arial" w:cs="Arial"/>
          <w:szCs w:val="20"/>
        </w:rPr>
        <w:t>SACSCOC</w:t>
      </w:r>
      <w:r w:rsidR="00A01714">
        <w:rPr>
          <w:rFonts w:ascii="Arial" w:hAnsi="Arial" w:cs="Arial"/>
          <w:szCs w:val="20"/>
        </w:rPr>
        <w:t>)</w:t>
      </w:r>
      <w:r w:rsidR="00A2593E">
        <w:rPr>
          <w:rFonts w:ascii="Arial" w:hAnsi="Arial" w:cs="Arial"/>
          <w:szCs w:val="20"/>
        </w:rPr>
        <w:t xml:space="preserve"> </w:t>
      </w:r>
      <w:r w:rsidRPr="00B867BD">
        <w:rPr>
          <w:rFonts w:ascii="Arial" w:hAnsi="Arial" w:cs="Arial"/>
          <w:szCs w:val="20"/>
        </w:rPr>
        <w:t xml:space="preserve">in 2014. A total of 665 students dropped </w:t>
      </w:r>
      <w:r w:rsidR="00BB572C">
        <w:rPr>
          <w:rFonts w:ascii="Arial" w:hAnsi="Arial" w:cs="Arial"/>
          <w:szCs w:val="20"/>
        </w:rPr>
        <w:t xml:space="preserve">out of the university in 2014. </w:t>
      </w:r>
      <w:r w:rsidRPr="00B867BD">
        <w:rPr>
          <w:rFonts w:ascii="Arial" w:hAnsi="Arial" w:cs="Arial"/>
          <w:szCs w:val="20"/>
        </w:rPr>
        <w:t xml:space="preserve">In December of 2015, NSU </w:t>
      </w:r>
      <w:r w:rsidR="00BB572C">
        <w:rPr>
          <w:rFonts w:ascii="Arial" w:hAnsi="Arial" w:cs="Arial"/>
          <w:szCs w:val="20"/>
        </w:rPr>
        <w:t xml:space="preserve">was taken off probation. </w:t>
      </w:r>
      <w:r>
        <w:rPr>
          <w:rFonts w:ascii="Arial" w:hAnsi="Arial" w:cs="Arial"/>
          <w:szCs w:val="20"/>
        </w:rPr>
        <w:t>Enrollment at NSU started to increa</w:t>
      </w:r>
      <w:r w:rsidR="00BB572C">
        <w:rPr>
          <w:rFonts w:ascii="Arial" w:hAnsi="Arial" w:cs="Arial"/>
          <w:szCs w:val="20"/>
        </w:rPr>
        <w:t xml:space="preserve">se for the first time in 2016. </w:t>
      </w:r>
      <w:r>
        <w:rPr>
          <w:rFonts w:ascii="Arial" w:hAnsi="Arial" w:cs="Arial"/>
          <w:szCs w:val="20"/>
        </w:rPr>
        <w:t xml:space="preserve">Staff recommends that SCHEV staff work with NSU staff on a remediation plan to monitor enrollment projections as well as </w:t>
      </w:r>
      <w:r w:rsidR="005B3B69">
        <w:rPr>
          <w:rFonts w:ascii="Arial" w:hAnsi="Arial" w:cs="Arial"/>
          <w:szCs w:val="20"/>
        </w:rPr>
        <w:t xml:space="preserve">to </w:t>
      </w:r>
      <w:r>
        <w:rPr>
          <w:rFonts w:ascii="Arial" w:hAnsi="Arial" w:cs="Arial"/>
          <w:szCs w:val="20"/>
        </w:rPr>
        <w:t>detail efforts to increase degree awards for underrepresented populations and to increase the enrollment of transfer students.</w:t>
      </w:r>
      <w:r w:rsidR="00434AC8">
        <w:rPr>
          <w:rFonts w:ascii="Arial" w:hAnsi="Arial" w:cs="Arial"/>
          <w:szCs w:val="20"/>
        </w:rPr>
        <w:t xml:space="preserve"> </w:t>
      </w:r>
      <w:r w:rsidR="00F51D6E">
        <w:rPr>
          <w:rFonts w:ascii="Arial" w:hAnsi="Arial" w:cs="Arial"/>
          <w:szCs w:val="20"/>
        </w:rPr>
        <w:t>Appendix D</w:t>
      </w:r>
      <w:r w:rsidR="001910A0">
        <w:rPr>
          <w:rFonts w:ascii="Arial" w:hAnsi="Arial" w:cs="Arial"/>
          <w:szCs w:val="20"/>
        </w:rPr>
        <w:t xml:space="preserve"> contains the </w:t>
      </w:r>
      <w:r w:rsidR="002A662B">
        <w:rPr>
          <w:rFonts w:ascii="Arial" w:hAnsi="Arial" w:cs="Arial"/>
          <w:szCs w:val="20"/>
        </w:rPr>
        <w:t>r</w:t>
      </w:r>
      <w:r w:rsidR="001910A0">
        <w:rPr>
          <w:rFonts w:ascii="Arial" w:hAnsi="Arial" w:cs="Arial"/>
          <w:szCs w:val="20"/>
        </w:rPr>
        <w:t xml:space="preserve">emediation </w:t>
      </w:r>
      <w:r w:rsidR="002A662B">
        <w:rPr>
          <w:rFonts w:ascii="Arial" w:hAnsi="Arial" w:cs="Arial"/>
          <w:szCs w:val="20"/>
        </w:rPr>
        <w:t>p</w:t>
      </w:r>
      <w:r w:rsidR="001910A0">
        <w:rPr>
          <w:rFonts w:ascii="Arial" w:hAnsi="Arial" w:cs="Arial"/>
          <w:szCs w:val="20"/>
        </w:rPr>
        <w:t xml:space="preserve">lan </w:t>
      </w:r>
      <w:r w:rsidR="000C5A90">
        <w:rPr>
          <w:rFonts w:ascii="Arial" w:hAnsi="Arial" w:cs="Arial"/>
          <w:szCs w:val="20"/>
        </w:rPr>
        <w:t>proposed for</w:t>
      </w:r>
      <w:r w:rsidR="00434AC8">
        <w:rPr>
          <w:rFonts w:ascii="Arial" w:hAnsi="Arial" w:cs="Arial"/>
          <w:szCs w:val="20"/>
        </w:rPr>
        <w:t xml:space="preserve"> NSU. </w:t>
      </w:r>
    </w:p>
    <w:p w:rsidR="00175898" w:rsidRDefault="00BB572C" w:rsidP="00175898">
      <w:pPr>
        <w:pStyle w:val="BodyText"/>
        <w:numPr>
          <w:ilvl w:val="0"/>
          <w:numId w:val="11"/>
        </w:numPr>
        <w:jc w:val="both"/>
        <w:rPr>
          <w:rFonts w:ascii="Arial" w:hAnsi="Arial" w:cs="Arial"/>
          <w:szCs w:val="20"/>
        </w:rPr>
      </w:pPr>
      <w:r>
        <w:rPr>
          <w:rFonts w:ascii="Arial" w:hAnsi="Arial" w:cs="Arial"/>
          <w:szCs w:val="20"/>
        </w:rPr>
        <w:t xml:space="preserve">Richard Bland College (RBC): </w:t>
      </w:r>
      <w:r w:rsidR="00175898" w:rsidRPr="00F55FB2">
        <w:rPr>
          <w:rFonts w:ascii="Arial" w:hAnsi="Arial" w:cs="Arial"/>
          <w:szCs w:val="20"/>
        </w:rPr>
        <w:t>RBC did not achieve Performance Measure</w:t>
      </w:r>
      <w:r>
        <w:rPr>
          <w:rFonts w:ascii="Arial" w:hAnsi="Arial" w:cs="Arial"/>
          <w:szCs w:val="20"/>
        </w:rPr>
        <w:t xml:space="preserve">s 2, 3 and 5. </w:t>
      </w:r>
      <w:r w:rsidR="00175898" w:rsidRPr="00F55FB2">
        <w:rPr>
          <w:rFonts w:ascii="Arial" w:hAnsi="Arial" w:cs="Arial"/>
          <w:szCs w:val="20"/>
        </w:rPr>
        <w:t xml:space="preserve">Based on feedback from RBC staff, enrollment and degree projections for 2015, </w:t>
      </w:r>
      <w:r w:rsidR="00175898">
        <w:rPr>
          <w:rFonts w:ascii="Arial" w:hAnsi="Arial" w:cs="Arial"/>
          <w:szCs w:val="20"/>
        </w:rPr>
        <w:t>which</w:t>
      </w:r>
      <w:r w:rsidR="00175898" w:rsidRPr="00F55FB2">
        <w:rPr>
          <w:rFonts w:ascii="Arial" w:hAnsi="Arial" w:cs="Arial"/>
          <w:szCs w:val="20"/>
        </w:rPr>
        <w:t xml:space="preserve"> were used for comparison purposes for the 2018 assessme</w:t>
      </w:r>
      <w:r>
        <w:rPr>
          <w:rFonts w:ascii="Arial" w:hAnsi="Arial" w:cs="Arial"/>
          <w:szCs w:val="20"/>
        </w:rPr>
        <w:t xml:space="preserve">nt, were relatively aggressive. </w:t>
      </w:r>
      <w:r w:rsidR="00175898" w:rsidRPr="00F55FB2">
        <w:rPr>
          <w:rFonts w:ascii="Arial" w:hAnsi="Arial" w:cs="Arial"/>
          <w:szCs w:val="20"/>
        </w:rPr>
        <w:t xml:space="preserve">RBC expected to see a larger impact from the Exceptional Student Experience (ESE) model than was achieved. RBC reports it was more conservative </w:t>
      </w:r>
      <w:r w:rsidR="00175898">
        <w:rPr>
          <w:rFonts w:ascii="Arial" w:hAnsi="Arial" w:cs="Arial"/>
          <w:szCs w:val="20"/>
        </w:rPr>
        <w:t xml:space="preserve">in its </w:t>
      </w:r>
      <w:r w:rsidR="005B3B69">
        <w:rPr>
          <w:rFonts w:ascii="Arial" w:hAnsi="Arial" w:cs="Arial"/>
          <w:szCs w:val="20"/>
        </w:rPr>
        <w:t xml:space="preserve">2017 projections </w:t>
      </w:r>
      <w:r w:rsidR="00175898" w:rsidRPr="00F55FB2">
        <w:rPr>
          <w:rFonts w:ascii="Arial" w:hAnsi="Arial" w:cs="Arial"/>
          <w:szCs w:val="20"/>
        </w:rPr>
        <w:t>because it w</w:t>
      </w:r>
      <w:r>
        <w:rPr>
          <w:rFonts w:ascii="Arial" w:hAnsi="Arial" w:cs="Arial"/>
          <w:szCs w:val="20"/>
        </w:rPr>
        <w:t xml:space="preserve">as raising admission standards. </w:t>
      </w:r>
      <w:r w:rsidR="00175898">
        <w:rPr>
          <w:rFonts w:ascii="Arial" w:hAnsi="Arial" w:cs="Arial"/>
          <w:szCs w:val="20"/>
        </w:rPr>
        <w:t xml:space="preserve">RBC staff believes </w:t>
      </w:r>
      <w:r w:rsidR="005B3B69">
        <w:rPr>
          <w:rFonts w:ascii="Arial" w:hAnsi="Arial" w:cs="Arial"/>
          <w:szCs w:val="20"/>
        </w:rPr>
        <w:t>its 2017</w:t>
      </w:r>
      <w:r w:rsidR="00175898">
        <w:rPr>
          <w:rFonts w:ascii="Arial" w:hAnsi="Arial" w:cs="Arial"/>
          <w:szCs w:val="20"/>
        </w:rPr>
        <w:t xml:space="preserve"> projections will be more accurate. </w:t>
      </w:r>
      <w:r w:rsidR="00175898" w:rsidRPr="00F55FB2">
        <w:rPr>
          <w:rFonts w:ascii="Arial" w:hAnsi="Arial" w:cs="Arial"/>
          <w:szCs w:val="20"/>
        </w:rPr>
        <w:t xml:space="preserve">Staff recommends that SCHEV staff work with RBC staff on a remediation plan to monitor enrollment </w:t>
      </w:r>
      <w:r w:rsidR="00175898">
        <w:rPr>
          <w:rFonts w:ascii="Arial" w:hAnsi="Arial" w:cs="Arial"/>
          <w:szCs w:val="20"/>
        </w:rPr>
        <w:t xml:space="preserve">and degree </w:t>
      </w:r>
      <w:r w:rsidR="00175898" w:rsidRPr="00F55FB2">
        <w:rPr>
          <w:rFonts w:ascii="Arial" w:hAnsi="Arial" w:cs="Arial"/>
          <w:szCs w:val="20"/>
        </w:rPr>
        <w:t xml:space="preserve">projections as this </w:t>
      </w:r>
      <w:r w:rsidR="00175898">
        <w:rPr>
          <w:rFonts w:ascii="Arial" w:hAnsi="Arial" w:cs="Arial"/>
          <w:szCs w:val="20"/>
        </w:rPr>
        <w:t xml:space="preserve">situation </w:t>
      </w:r>
      <w:r w:rsidR="00175898" w:rsidRPr="00F55FB2">
        <w:rPr>
          <w:rFonts w:ascii="Arial" w:hAnsi="Arial" w:cs="Arial"/>
          <w:szCs w:val="20"/>
        </w:rPr>
        <w:t xml:space="preserve">has been on ongoing </w:t>
      </w:r>
      <w:r w:rsidR="00175898">
        <w:rPr>
          <w:rFonts w:ascii="Arial" w:hAnsi="Arial" w:cs="Arial"/>
          <w:szCs w:val="20"/>
        </w:rPr>
        <w:t>issue</w:t>
      </w:r>
      <w:r w:rsidR="00434AC8">
        <w:rPr>
          <w:rFonts w:ascii="Arial" w:hAnsi="Arial" w:cs="Arial"/>
          <w:szCs w:val="20"/>
        </w:rPr>
        <w:t xml:space="preserve"> for RBC. </w:t>
      </w:r>
      <w:r w:rsidR="00F51D6E">
        <w:rPr>
          <w:rFonts w:ascii="Arial" w:hAnsi="Arial" w:cs="Arial"/>
          <w:szCs w:val="20"/>
        </w:rPr>
        <w:t>Appendix E</w:t>
      </w:r>
      <w:r w:rsidR="002A662B">
        <w:rPr>
          <w:rFonts w:ascii="Arial" w:hAnsi="Arial" w:cs="Arial"/>
          <w:szCs w:val="20"/>
        </w:rPr>
        <w:t xml:space="preserve"> contains the remediation plan </w:t>
      </w:r>
      <w:r w:rsidR="000C5A90">
        <w:rPr>
          <w:rFonts w:ascii="Arial" w:hAnsi="Arial" w:cs="Arial"/>
          <w:szCs w:val="20"/>
        </w:rPr>
        <w:t xml:space="preserve">proposed for </w:t>
      </w:r>
      <w:r w:rsidR="00434AC8">
        <w:rPr>
          <w:rFonts w:ascii="Arial" w:hAnsi="Arial" w:cs="Arial"/>
          <w:szCs w:val="20"/>
        </w:rPr>
        <w:t xml:space="preserve">RBC. </w:t>
      </w:r>
    </w:p>
    <w:p w:rsidR="002A662B" w:rsidRDefault="002A662B" w:rsidP="002A662B">
      <w:pPr>
        <w:pStyle w:val="BodyText"/>
        <w:jc w:val="both"/>
        <w:rPr>
          <w:rFonts w:ascii="Arial" w:hAnsi="Arial" w:cs="Arial"/>
          <w:szCs w:val="20"/>
        </w:rPr>
      </w:pPr>
    </w:p>
    <w:p w:rsidR="002A662B" w:rsidRDefault="002A662B" w:rsidP="002A662B">
      <w:pPr>
        <w:pStyle w:val="BodyText"/>
        <w:jc w:val="both"/>
        <w:rPr>
          <w:rFonts w:ascii="Arial" w:hAnsi="Arial" w:cs="Arial"/>
          <w:szCs w:val="20"/>
        </w:rPr>
      </w:pPr>
      <w:r>
        <w:rPr>
          <w:rFonts w:ascii="Arial" w:hAnsi="Arial" w:cs="Arial"/>
          <w:szCs w:val="20"/>
        </w:rPr>
        <w:t>Staff proposes that an interim review be performed next summer to ensure that progress is being made by the two institutions.</w:t>
      </w:r>
    </w:p>
    <w:p w:rsidR="00847ABC" w:rsidRDefault="00847ABC" w:rsidP="00847ABC">
      <w:pPr>
        <w:pStyle w:val="BodyText"/>
        <w:ind w:left="432"/>
        <w:jc w:val="both"/>
        <w:rPr>
          <w:rFonts w:ascii="Arial" w:hAnsi="Arial" w:cs="Arial"/>
          <w:szCs w:val="20"/>
        </w:rPr>
      </w:pPr>
    </w:p>
    <w:p w:rsidR="00175898" w:rsidRDefault="00175898" w:rsidP="007A1D24">
      <w:pPr>
        <w:pStyle w:val="BodyText"/>
        <w:jc w:val="both"/>
        <w:rPr>
          <w:rFonts w:ascii="Arial" w:hAnsi="Arial" w:cs="Arial"/>
          <w:szCs w:val="20"/>
        </w:rPr>
      </w:pPr>
      <w:r w:rsidRPr="00175898">
        <w:rPr>
          <w:rFonts w:ascii="Arial" w:hAnsi="Arial" w:cs="Arial"/>
          <w:szCs w:val="20"/>
        </w:rPr>
        <w:t xml:space="preserve">Table </w:t>
      </w:r>
      <w:r>
        <w:rPr>
          <w:rFonts w:ascii="Arial" w:hAnsi="Arial" w:cs="Arial"/>
          <w:szCs w:val="20"/>
        </w:rPr>
        <w:t xml:space="preserve">3 </w:t>
      </w:r>
      <w:r w:rsidR="00847ABC">
        <w:rPr>
          <w:rFonts w:ascii="Arial" w:hAnsi="Arial" w:cs="Arial"/>
          <w:szCs w:val="20"/>
        </w:rPr>
        <w:t xml:space="preserve">provides more </w:t>
      </w:r>
      <w:r w:rsidR="005B3B69">
        <w:rPr>
          <w:rFonts w:ascii="Arial" w:hAnsi="Arial" w:cs="Arial"/>
          <w:szCs w:val="20"/>
        </w:rPr>
        <w:t>detailed</w:t>
      </w:r>
      <w:r w:rsidR="00847ABC">
        <w:rPr>
          <w:rFonts w:ascii="Arial" w:hAnsi="Arial" w:cs="Arial"/>
          <w:szCs w:val="20"/>
        </w:rPr>
        <w:t xml:space="preserve"> information </w:t>
      </w:r>
      <w:r w:rsidR="005B3B69">
        <w:rPr>
          <w:rFonts w:ascii="Arial" w:hAnsi="Arial" w:cs="Arial"/>
          <w:szCs w:val="20"/>
        </w:rPr>
        <w:t>for each</w:t>
      </w:r>
      <w:r w:rsidR="00847ABC">
        <w:rPr>
          <w:rFonts w:ascii="Arial" w:hAnsi="Arial" w:cs="Arial"/>
          <w:szCs w:val="20"/>
        </w:rPr>
        <w:t xml:space="preserve"> institution</w:t>
      </w:r>
      <w:r w:rsidR="005B3B69">
        <w:rPr>
          <w:rFonts w:ascii="Arial" w:hAnsi="Arial" w:cs="Arial"/>
          <w:szCs w:val="20"/>
        </w:rPr>
        <w:t xml:space="preserve"> by</w:t>
      </w:r>
      <w:r w:rsidR="00DF4586">
        <w:rPr>
          <w:rFonts w:ascii="Arial" w:hAnsi="Arial" w:cs="Arial"/>
          <w:szCs w:val="20"/>
        </w:rPr>
        <w:t xml:space="preserve"> performance measure </w:t>
      </w:r>
      <w:r w:rsidR="003516D0">
        <w:rPr>
          <w:rFonts w:ascii="Arial" w:hAnsi="Arial" w:cs="Arial"/>
          <w:szCs w:val="20"/>
        </w:rPr>
        <w:t xml:space="preserve">and </w:t>
      </w:r>
      <w:r w:rsidR="00DF4586">
        <w:rPr>
          <w:rFonts w:ascii="Arial" w:hAnsi="Arial" w:cs="Arial"/>
          <w:szCs w:val="20"/>
        </w:rPr>
        <w:t>year of the review period</w:t>
      </w:r>
      <w:r w:rsidR="00847ABC">
        <w:rPr>
          <w:rFonts w:ascii="Arial" w:hAnsi="Arial" w:cs="Arial"/>
          <w:szCs w:val="20"/>
        </w:rPr>
        <w:t>.</w:t>
      </w:r>
    </w:p>
    <w:p w:rsidR="00847ABC" w:rsidRDefault="00847ABC" w:rsidP="00515F1F">
      <w:pPr>
        <w:pStyle w:val="BodyText"/>
        <w:ind w:left="-360" w:firstLine="360"/>
        <w:jc w:val="both"/>
        <w:rPr>
          <w:rFonts w:ascii="Arial" w:hAnsi="Arial" w:cs="Arial"/>
          <w:szCs w:val="20"/>
        </w:rPr>
      </w:pPr>
    </w:p>
    <w:p w:rsidR="00847ABC" w:rsidRDefault="00AF07FE" w:rsidP="00515F1F">
      <w:pPr>
        <w:pStyle w:val="BodyText"/>
        <w:ind w:left="-360" w:firstLine="360"/>
        <w:jc w:val="both"/>
        <w:rPr>
          <w:rFonts w:ascii="Arial" w:hAnsi="Arial" w:cs="Arial"/>
          <w:szCs w:val="20"/>
        </w:rPr>
      </w:pPr>
      <w:r w:rsidRPr="00AF07FE">
        <w:rPr>
          <w:noProof/>
        </w:rPr>
        <w:drawing>
          <wp:inline distT="0" distB="0" distL="0" distR="0" wp14:anchorId="0BDC3D50" wp14:editId="1B28CF5A">
            <wp:extent cx="5806440" cy="4787255"/>
            <wp:effectExtent l="0" t="0" r="3810" b="0"/>
            <wp:docPr id="9" name="Picture 9" descr="This table provides assessment results by institution, measure and year." title="Biennial Assessment Results by Institution and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6440" cy="4787255"/>
                    </a:xfrm>
                    <a:prstGeom prst="rect">
                      <a:avLst/>
                    </a:prstGeom>
                    <a:noFill/>
                    <a:ln>
                      <a:noFill/>
                    </a:ln>
                  </pic:spPr>
                </pic:pic>
              </a:graphicData>
            </a:graphic>
          </wp:inline>
        </w:drawing>
      </w:r>
    </w:p>
    <w:p w:rsidR="00847ABC" w:rsidRDefault="00847ABC" w:rsidP="00515F1F">
      <w:pPr>
        <w:pStyle w:val="BodyText"/>
        <w:ind w:left="-360" w:firstLine="360"/>
        <w:jc w:val="both"/>
        <w:rPr>
          <w:rFonts w:ascii="Arial" w:hAnsi="Arial" w:cs="Arial"/>
          <w:szCs w:val="20"/>
        </w:rPr>
      </w:pPr>
    </w:p>
    <w:p w:rsidR="00175898" w:rsidRDefault="00175898" w:rsidP="00515F1F">
      <w:pPr>
        <w:pStyle w:val="BodyText"/>
        <w:ind w:left="-360" w:firstLine="360"/>
        <w:jc w:val="both"/>
        <w:rPr>
          <w:rFonts w:ascii="Arial" w:hAnsi="Arial" w:cs="Arial"/>
          <w:szCs w:val="20"/>
        </w:rPr>
      </w:pPr>
    </w:p>
    <w:p w:rsidR="00D73970" w:rsidRDefault="00DF4586" w:rsidP="00DF4586">
      <w:pPr>
        <w:pStyle w:val="BodyText"/>
        <w:jc w:val="both"/>
        <w:rPr>
          <w:rFonts w:ascii="Arial" w:hAnsi="Arial" w:cs="Arial"/>
          <w:szCs w:val="20"/>
        </w:rPr>
      </w:pPr>
      <w:r>
        <w:rPr>
          <w:rFonts w:ascii="Arial" w:hAnsi="Arial" w:cs="Arial"/>
          <w:szCs w:val="20"/>
        </w:rPr>
        <w:t xml:space="preserve">The six education-related measures support the </w:t>
      </w:r>
      <w:r w:rsidR="00BB572C">
        <w:rPr>
          <w:rFonts w:ascii="Arial" w:hAnsi="Arial" w:cs="Arial"/>
          <w:szCs w:val="20"/>
        </w:rPr>
        <w:t>goals of T</w:t>
      </w:r>
      <w:r w:rsidR="009D2F2E">
        <w:rPr>
          <w:rFonts w:ascii="Arial" w:hAnsi="Arial" w:cs="Arial"/>
          <w:szCs w:val="20"/>
        </w:rPr>
        <w:t xml:space="preserve">he </w:t>
      </w:r>
      <w:r>
        <w:rPr>
          <w:rFonts w:ascii="Arial" w:hAnsi="Arial" w:cs="Arial"/>
          <w:szCs w:val="20"/>
        </w:rPr>
        <w:t>Virginia Plan for Higher Education</w:t>
      </w:r>
      <w:r w:rsidR="005B3B69">
        <w:rPr>
          <w:rFonts w:ascii="Arial" w:hAnsi="Arial" w:cs="Arial"/>
          <w:szCs w:val="20"/>
        </w:rPr>
        <w:t>, in particular</w:t>
      </w:r>
      <w:r w:rsidR="005745CC">
        <w:rPr>
          <w:rFonts w:ascii="Arial" w:hAnsi="Arial" w:cs="Arial"/>
          <w:szCs w:val="20"/>
        </w:rPr>
        <w:t>,</w:t>
      </w:r>
      <w:r w:rsidR="005B3B69">
        <w:rPr>
          <w:rFonts w:ascii="Arial" w:hAnsi="Arial" w:cs="Arial"/>
          <w:szCs w:val="20"/>
        </w:rPr>
        <w:t xml:space="preserve"> </w:t>
      </w:r>
      <w:r w:rsidR="005745CC">
        <w:rPr>
          <w:rFonts w:ascii="Arial" w:hAnsi="Arial" w:cs="Arial"/>
          <w:szCs w:val="20"/>
        </w:rPr>
        <w:t>the goals related to access and student success</w:t>
      </w:r>
      <w:r w:rsidR="005B3B69">
        <w:rPr>
          <w:rFonts w:ascii="Arial" w:hAnsi="Arial" w:cs="Arial"/>
          <w:szCs w:val="20"/>
        </w:rPr>
        <w:t xml:space="preserve">. </w:t>
      </w:r>
      <w:r w:rsidR="009D2F2E">
        <w:rPr>
          <w:rFonts w:ascii="Arial" w:hAnsi="Arial" w:cs="Arial"/>
          <w:szCs w:val="20"/>
        </w:rPr>
        <w:t>The measures also support the Council’s Priority Initiative 3 that seeks to improve student succ</w:t>
      </w:r>
      <w:r w:rsidR="00434AC8">
        <w:rPr>
          <w:rFonts w:ascii="Arial" w:hAnsi="Arial" w:cs="Arial"/>
          <w:szCs w:val="20"/>
        </w:rPr>
        <w:t xml:space="preserve">ess and close equity gaps. </w:t>
      </w:r>
    </w:p>
    <w:p w:rsidR="000C722B" w:rsidRDefault="000C722B" w:rsidP="00DF4586">
      <w:pPr>
        <w:pStyle w:val="BodyText"/>
        <w:jc w:val="both"/>
        <w:rPr>
          <w:rFonts w:ascii="Arial" w:hAnsi="Arial" w:cs="Arial"/>
          <w:szCs w:val="20"/>
        </w:rPr>
      </w:pPr>
    </w:p>
    <w:p w:rsidR="000C722B" w:rsidRPr="000C722B" w:rsidRDefault="000C722B" w:rsidP="00DF4586">
      <w:pPr>
        <w:pStyle w:val="BodyText"/>
        <w:jc w:val="both"/>
        <w:rPr>
          <w:rFonts w:ascii="Arial" w:hAnsi="Arial" w:cs="Arial"/>
          <w:szCs w:val="20"/>
          <w:u w:val="single"/>
        </w:rPr>
      </w:pPr>
      <w:r w:rsidRPr="000C722B">
        <w:rPr>
          <w:rFonts w:ascii="Arial" w:hAnsi="Arial" w:cs="Arial"/>
          <w:szCs w:val="20"/>
          <w:u w:val="single"/>
        </w:rPr>
        <w:t>Financial and Administrative Standards</w:t>
      </w:r>
    </w:p>
    <w:p w:rsidR="00B80DF6" w:rsidRDefault="00B80DF6" w:rsidP="00DF4586">
      <w:pPr>
        <w:pStyle w:val="BodyText"/>
        <w:jc w:val="both"/>
        <w:rPr>
          <w:rFonts w:ascii="Arial" w:hAnsi="Arial" w:cs="Arial"/>
          <w:szCs w:val="20"/>
        </w:rPr>
      </w:pPr>
    </w:p>
    <w:p w:rsidR="00243D00" w:rsidRDefault="00515F1F" w:rsidP="00515F1F">
      <w:pPr>
        <w:pStyle w:val="BodyText"/>
        <w:jc w:val="both"/>
        <w:rPr>
          <w:rFonts w:ascii="Arial" w:hAnsi="Arial" w:cs="Arial"/>
          <w:szCs w:val="20"/>
        </w:rPr>
      </w:pPr>
      <w:r>
        <w:rPr>
          <w:rFonts w:ascii="Arial" w:hAnsi="Arial" w:cs="Arial"/>
          <w:szCs w:val="20"/>
        </w:rPr>
        <w:t xml:space="preserve">The </w:t>
      </w:r>
      <w:r w:rsidR="000C722B">
        <w:rPr>
          <w:rFonts w:ascii="Arial" w:hAnsi="Arial" w:cs="Arial"/>
          <w:szCs w:val="20"/>
        </w:rPr>
        <w:t xml:space="preserve">Department of Planning and Budget under the Secretary of Finance performed </w:t>
      </w:r>
      <w:r w:rsidR="00B05CEF">
        <w:rPr>
          <w:rFonts w:ascii="Arial" w:hAnsi="Arial" w:cs="Arial"/>
          <w:szCs w:val="20"/>
        </w:rPr>
        <w:t>a</w:t>
      </w:r>
      <w:r w:rsidR="000C722B">
        <w:rPr>
          <w:rFonts w:ascii="Arial" w:hAnsi="Arial" w:cs="Arial"/>
          <w:szCs w:val="20"/>
        </w:rPr>
        <w:t xml:space="preserve"> review of the </w:t>
      </w:r>
      <w:r w:rsidR="00B05CEF">
        <w:rPr>
          <w:rFonts w:ascii="Arial" w:hAnsi="Arial" w:cs="Arial"/>
          <w:szCs w:val="20"/>
        </w:rPr>
        <w:t xml:space="preserve">results for the </w:t>
      </w:r>
      <w:r w:rsidR="000C722B">
        <w:rPr>
          <w:rFonts w:ascii="Arial" w:hAnsi="Arial" w:cs="Arial"/>
          <w:szCs w:val="20"/>
        </w:rPr>
        <w:t>Financial and Administrative Standards</w:t>
      </w:r>
      <w:r w:rsidR="00061C99">
        <w:rPr>
          <w:rFonts w:ascii="Arial" w:hAnsi="Arial" w:cs="Arial"/>
          <w:szCs w:val="20"/>
        </w:rPr>
        <w:t xml:space="preserve"> for 2016-17</w:t>
      </w:r>
      <w:r w:rsidR="000C722B">
        <w:rPr>
          <w:rFonts w:ascii="Arial" w:hAnsi="Arial" w:cs="Arial"/>
          <w:szCs w:val="20"/>
        </w:rPr>
        <w:t>. Institutions must meet a passing score on th</w:t>
      </w:r>
      <w:r w:rsidR="00434AC8">
        <w:rPr>
          <w:rFonts w:ascii="Arial" w:hAnsi="Arial" w:cs="Arial"/>
          <w:szCs w:val="20"/>
        </w:rPr>
        <w:t xml:space="preserve">ese standards of at least 80%. </w:t>
      </w:r>
    </w:p>
    <w:p w:rsidR="00243D00" w:rsidRDefault="00243D00" w:rsidP="00515F1F">
      <w:pPr>
        <w:pStyle w:val="BodyText"/>
        <w:jc w:val="both"/>
        <w:rPr>
          <w:rFonts w:ascii="Arial" w:hAnsi="Arial" w:cs="Arial"/>
          <w:szCs w:val="20"/>
        </w:rPr>
      </w:pPr>
    </w:p>
    <w:p w:rsidR="00C62696" w:rsidRDefault="003C314F" w:rsidP="00515F1F">
      <w:pPr>
        <w:pStyle w:val="BodyText"/>
        <w:jc w:val="both"/>
        <w:rPr>
          <w:rFonts w:ascii="Arial" w:hAnsi="Arial" w:cs="Arial"/>
          <w:szCs w:val="20"/>
        </w:rPr>
      </w:pPr>
      <w:r>
        <w:rPr>
          <w:rFonts w:ascii="Arial" w:hAnsi="Arial" w:cs="Arial"/>
          <w:szCs w:val="20"/>
        </w:rPr>
        <w:t>Table 4</w:t>
      </w:r>
      <w:r w:rsidR="00243D00">
        <w:rPr>
          <w:rFonts w:ascii="Arial" w:hAnsi="Arial" w:cs="Arial"/>
          <w:szCs w:val="20"/>
        </w:rPr>
        <w:t xml:space="preserve"> contains the results </w:t>
      </w:r>
      <w:r>
        <w:rPr>
          <w:rFonts w:ascii="Arial" w:hAnsi="Arial" w:cs="Arial"/>
          <w:szCs w:val="20"/>
        </w:rPr>
        <w:t>by</w:t>
      </w:r>
      <w:r w:rsidR="00434AC8">
        <w:rPr>
          <w:rFonts w:ascii="Arial" w:hAnsi="Arial" w:cs="Arial"/>
          <w:szCs w:val="20"/>
        </w:rPr>
        <w:t xml:space="preserve"> institution. </w:t>
      </w:r>
    </w:p>
    <w:p w:rsidR="00C62696" w:rsidRDefault="00C62696" w:rsidP="00515F1F">
      <w:pPr>
        <w:pStyle w:val="BodyText"/>
        <w:jc w:val="both"/>
        <w:rPr>
          <w:rFonts w:ascii="Arial" w:hAnsi="Arial" w:cs="Arial"/>
          <w:szCs w:val="20"/>
        </w:rPr>
      </w:pPr>
    </w:p>
    <w:p w:rsidR="00C62696" w:rsidRDefault="00C62696" w:rsidP="00515F1F">
      <w:pPr>
        <w:pStyle w:val="BodyText"/>
        <w:jc w:val="both"/>
        <w:rPr>
          <w:rFonts w:ascii="Arial" w:hAnsi="Arial" w:cs="Arial"/>
          <w:szCs w:val="20"/>
        </w:rPr>
      </w:pPr>
    </w:p>
    <w:p w:rsidR="00C62696" w:rsidRDefault="00C62696" w:rsidP="00C62696">
      <w:pPr>
        <w:pStyle w:val="BodyText"/>
        <w:jc w:val="center"/>
        <w:rPr>
          <w:rFonts w:ascii="Arial" w:hAnsi="Arial" w:cs="Arial"/>
          <w:szCs w:val="20"/>
        </w:rPr>
      </w:pPr>
      <w:r w:rsidRPr="00C62696">
        <w:rPr>
          <w:noProof/>
        </w:rPr>
        <w:drawing>
          <wp:inline distT="0" distB="0" distL="0" distR="0" wp14:anchorId="07A76666" wp14:editId="3C0FFB19">
            <wp:extent cx="4503420" cy="4792980"/>
            <wp:effectExtent l="0" t="0" r="0" b="7620"/>
            <wp:docPr id="11" name="Picture 11" descr="This table provides results for the review of the Financial and Administrative Standards by institution." title="Financial and Administrativ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3420" cy="4792980"/>
                    </a:xfrm>
                    <a:prstGeom prst="rect">
                      <a:avLst/>
                    </a:prstGeom>
                    <a:noFill/>
                    <a:ln>
                      <a:noFill/>
                    </a:ln>
                  </pic:spPr>
                </pic:pic>
              </a:graphicData>
            </a:graphic>
          </wp:inline>
        </w:drawing>
      </w:r>
    </w:p>
    <w:p w:rsidR="00C62696" w:rsidRDefault="00C62696" w:rsidP="00515F1F">
      <w:pPr>
        <w:pStyle w:val="BodyText"/>
        <w:jc w:val="both"/>
        <w:rPr>
          <w:rFonts w:ascii="Arial" w:hAnsi="Arial" w:cs="Arial"/>
          <w:szCs w:val="20"/>
        </w:rPr>
      </w:pPr>
    </w:p>
    <w:p w:rsidR="00C62696" w:rsidRDefault="00C62696" w:rsidP="00515F1F">
      <w:pPr>
        <w:pStyle w:val="BodyText"/>
        <w:jc w:val="both"/>
        <w:rPr>
          <w:rFonts w:ascii="Arial" w:hAnsi="Arial" w:cs="Arial"/>
          <w:szCs w:val="20"/>
        </w:rPr>
      </w:pPr>
    </w:p>
    <w:p w:rsidR="003A1924" w:rsidRDefault="00F51D6E" w:rsidP="00515F1F">
      <w:pPr>
        <w:pStyle w:val="BodyText"/>
        <w:jc w:val="both"/>
        <w:rPr>
          <w:rFonts w:ascii="Arial" w:hAnsi="Arial" w:cs="Arial"/>
          <w:szCs w:val="20"/>
        </w:rPr>
      </w:pPr>
      <w:r>
        <w:rPr>
          <w:rFonts w:ascii="Arial" w:hAnsi="Arial" w:cs="Arial"/>
          <w:szCs w:val="20"/>
        </w:rPr>
        <w:t>It should be noted that eight institutions had perfect scores of 100%: College of William and Mary, George Mason University, Radford University, University of Virginia, University of Virginia’s College at Wise, Virginia Military Inst</w:t>
      </w:r>
      <w:r w:rsidR="00C62696">
        <w:rPr>
          <w:rFonts w:ascii="Arial" w:hAnsi="Arial" w:cs="Arial"/>
          <w:szCs w:val="20"/>
        </w:rPr>
        <w:t>i</w:t>
      </w:r>
      <w:r>
        <w:rPr>
          <w:rFonts w:ascii="Arial" w:hAnsi="Arial" w:cs="Arial"/>
          <w:szCs w:val="20"/>
        </w:rPr>
        <w:t>tute, Virginia State</w:t>
      </w:r>
      <w:r w:rsidR="00434AC8">
        <w:rPr>
          <w:rFonts w:ascii="Arial" w:hAnsi="Arial" w:cs="Arial"/>
          <w:szCs w:val="20"/>
        </w:rPr>
        <w:t xml:space="preserve"> University and Virginia Tech. </w:t>
      </w:r>
    </w:p>
    <w:p w:rsidR="003A1924" w:rsidRDefault="003A1924" w:rsidP="00515F1F">
      <w:pPr>
        <w:pStyle w:val="BodyText"/>
        <w:jc w:val="both"/>
        <w:rPr>
          <w:rFonts w:ascii="Arial" w:hAnsi="Arial" w:cs="Arial"/>
          <w:szCs w:val="20"/>
        </w:rPr>
      </w:pPr>
    </w:p>
    <w:p w:rsidR="004A6E13" w:rsidRDefault="003C314F" w:rsidP="00515F1F">
      <w:pPr>
        <w:pStyle w:val="BodyText"/>
        <w:jc w:val="both"/>
        <w:rPr>
          <w:rFonts w:ascii="Arial" w:hAnsi="Arial" w:cs="Arial"/>
          <w:szCs w:val="20"/>
        </w:rPr>
      </w:pPr>
      <w:r>
        <w:rPr>
          <w:rFonts w:ascii="Arial" w:hAnsi="Arial" w:cs="Arial"/>
          <w:szCs w:val="20"/>
        </w:rPr>
        <w:t xml:space="preserve">All </w:t>
      </w:r>
      <w:r w:rsidR="00F51D6E">
        <w:rPr>
          <w:rFonts w:ascii="Arial" w:hAnsi="Arial" w:cs="Arial"/>
          <w:szCs w:val="20"/>
        </w:rPr>
        <w:t xml:space="preserve">other </w:t>
      </w:r>
      <w:r>
        <w:rPr>
          <w:rFonts w:ascii="Arial" w:hAnsi="Arial" w:cs="Arial"/>
          <w:szCs w:val="20"/>
        </w:rPr>
        <w:t>institutions, except Longwood University (LU) and Richard Bland College (RBC), ob</w:t>
      </w:r>
      <w:r w:rsidR="00434AC8">
        <w:rPr>
          <w:rFonts w:ascii="Arial" w:hAnsi="Arial" w:cs="Arial"/>
          <w:szCs w:val="20"/>
        </w:rPr>
        <w:t xml:space="preserve">tained passing scores. </w:t>
      </w:r>
      <w:r>
        <w:rPr>
          <w:rFonts w:ascii="Arial" w:hAnsi="Arial" w:cs="Arial"/>
          <w:szCs w:val="20"/>
        </w:rPr>
        <w:t>LU had two material weak</w:t>
      </w:r>
      <w:r w:rsidR="004A6E13">
        <w:rPr>
          <w:rFonts w:ascii="Arial" w:hAnsi="Arial" w:cs="Arial"/>
          <w:szCs w:val="20"/>
        </w:rPr>
        <w:t>nesses found pertaining to the u</w:t>
      </w:r>
      <w:r>
        <w:rPr>
          <w:rFonts w:ascii="Arial" w:hAnsi="Arial" w:cs="Arial"/>
          <w:szCs w:val="20"/>
        </w:rPr>
        <w:t>niversity’s database security and information system access controls and policies and procedures pert</w:t>
      </w:r>
      <w:r w:rsidR="00781995">
        <w:rPr>
          <w:rFonts w:ascii="Arial" w:hAnsi="Arial" w:cs="Arial"/>
          <w:szCs w:val="20"/>
        </w:rPr>
        <w:t>aining</w:t>
      </w:r>
      <w:r>
        <w:rPr>
          <w:rFonts w:ascii="Arial" w:hAnsi="Arial" w:cs="Arial"/>
          <w:szCs w:val="20"/>
        </w:rPr>
        <w:t xml:space="preserve"> to capital asset financial reporting. </w:t>
      </w:r>
      <w:r w:rsidR="00061C99">
        <w:rPr>
          <w:rFonts w:ascii="Arial" w:hAnsi="Arial" w:cs="Arial"/>
          <w:szCs w:val="20"/>
        </w:rPr>
        <w:t xml:space="preserve">It also was not in compliance with all financial reporting standards approved by the State Comptroller.   </w:t>
      </w:r>
      <w:r>
        <w:rPr>
          <w:rFonts w:ascii="Arial" w:hAnsi="Arial" w:cs="Arial"/>
          <w:szCs w:val="20"/>
        </w:rPr>
        <w:t xml:space="preserve"> </w:t>
      </w:r>
    </w:p>
    <w:p w:rsidR="004A6E13" w:rsidRDefault="004A6E13" w:rsidP="00515F1F">
      <w:pPr>
        <w:pStyle w:val="BodyText"/>
        <w:jc w:val="both"/>
        <w:rPr>
          <w:rFonts w:ascii="Arial" w:hAnsi="Arial" w:cs="Arial"/>
          <w:szCs w:val="20"/>
        </w:rPr>
      </w:pPr>
    </w:p>
    <w:p w:rsidR="00781995" w:rsidRDefault="00781995" w:rsidP="00515F1F">
      <w:pPr>
        <w:pStyle w:val="BodyText"/>
        <w:jc w:val="both"/>
        <w:rPr>
          <w:rFonts w:ascii="Arial" w:hAnsi="Arial" w:cs="Arial"/>
          <w:szCs w:val="20"/>
        </w:rPr>
      </w:pPr>
      <w:r>
        <w:rPr>
          <w:rFonts w:ascii="Arial" w:hAnsi="Arial" w:cs="Arial"/>
          <w:szCs w:val="20"/>
        </w:rPr>
        <w:t xml:space="preserve">RBC had a material weakness found in internal control pertaining to </w:t>
      </w:r>
      <w:r w:rsidR="00434AC8">
        <w:rPr>
          <w:rFonts w:ascii="Arial" w:hAnsi="Arial" w:cs="Arial"/>
          <w:szCs w:val="20"/>
        </w:rPr>
        <w:t xml:space="preserve">financial reporting processes. </w:t>
      </w:r>
      <w:r w:rsidR="00061C99">
        <w:rPr>
          <w:rFonts w:ascii="Arial" w:hAnsi="Arial" w:cs="Arial"/>
          <w:szCs w:val="20"/>
        </w:rPr>
        <w:t>It also did not meet the requirement of substantial attainment of accounts receivable standards approved by the State Comptroller, including but not limited to, any standards for outstandi</w:t>
      </w:r>
      <w:r w:rsidR="00434AC8">
        <w:rPr>
          <w:rFonts w:ascii="Arial" w:hAnsi="Arial" w:cs="Arial"/>
          <w:szCs w:val="20"/>
        </w:rPr>
        <w:t>ng receivables and bad debts. T</w:t>
      </w:r>
      <w:r w:rsidR="00061C99">
        <w:rPr>
          <w:rFonts w:ascii="Arial" w:hAnsi="Arial" w:cs="Arial"/>
          <w:szCs w:val="20"/>
        </w:rPr>
        <w:t xml:space="preserve">he </w:t>
      </w:r>
      <w:r w:rsidR="003A1924">
        <w:rPr>
          <w:rFonts w:ascii="Arial" w:hAnsi="Arial" w:cs="Arial"/>
          <w:szCs w:val="20"/>
        </w:rPr>
        <w:t>s</w:t>
      </w:r>
      <w:r w:rsidR="00061C99">
        <w:rPr>
          <w:rFonts w:ascii="Arial" w:hAnsi="Arial" w:cs="Arial"/>
          <w:szCs w:val="20"/>
        </w:rPr>
        <w:t xml:space="preserve">tandard relating to the institution making no less than 75 percent of dollar purchases through the Commonwealth’s enterprise-wide internet procurement system (eVA) from vendor locations registered in eVA could not be calculated because of missing information. </w:t>
      </w:r>
    </w:p>
    <w:p w:rsidR="00781995" w:rsidRDefault="00781995" w:rsidP="00515F1F">
      <w:pPr>
        <w:pStyle w:val="BodyText"/>
        <w:jc w:val="both"/>
        <w:rPr>
          <w:rFonts w:ascii="Arial" w:hAnsi="Arial" w:cs="Arial"/>
          <w:szCs w:val="20"/>
        </w:rPr>
      </w:pPr>
    </w:p>
    <w:p w:rsidR="00243D00" w:rsidRDefault="00781995" w:rsidP="00515F1F">
      <w:pPr>
        <w:pStyle w:val="BodyText"/>
        <w:jc w:val="both"/>
        <w:rPr>
          <w:rFonts w:ascii="Arial" w:hAnsi="Arial" w:cs="Arial"/>
          <w:szCs w:val="20"/>
        </w:rPr>
      </w:pPr>
      <w:r>
        <w:rPr>
          <w:rFonts w:ascii="Arial" w:hAnsi="Arial" w:cs="Arial"/>
          <w:szCs w:val="20"/>
        </w:rPr>
        <w:t xml:space="preserve">SCHEV staff, in concurrence with the Secretary of Finance, recommends </w:t>
      </w:r>
      <w:r>
        <w:rPr>
          <w:rFonts w:ascii="Arial" w:hAnsi="Arial" w:cs="Arial"/>
          <w:color w:val="222222"/>
          <w:shd w:val="clear" w:color="auto" w:fill="FFFFFF"/>
        </w:rPr>
        <w:t xml:space="preserve">that these institutions be certified for a probationary period of one year, instead of the normal two-year period. The institutions would retain benefits in FY2019. Next summer, the </w:t>
      </w:r>
      <w:r w:rsidR="004A6E13">
        <w:rPr>
          <w:rFonts w:ascii="Arial" w:hAnsi="Arial" w:cs="Arial"/>
          <w:color w:val="222222"/>
          <w:shd w:val="clear" w:color="auto" w:fill="FFFFFF"/>
        </w:rPr>
        <w:t>f</w:t>
      </w:r>
      <w:r>
        <w:rPr>
          <w:rFonts w:ascii="Arial" w:hAnsi="Arial" w:cs="Arial"/>
          <w:color w:val="222222"/>
          <w:shd w:val="clear" w:color="auto" w:fill="FFFFFF"/>
        </w:rPr>
        <w:t xml:space="preserve">inancial and </w:t>
      </w:r>
      <w:r w:rsidR="004A6E13">
        <w:rPr>
          <w:rFonts w:ascii="Arial" w:hAnsi="Arial" w:cs="Arial"/>
          <w:color w:val="222222"/>
          <w:shd w:val="clear" w:color="auto" w:fill="FFFFFF"/>
        </w:rPr>
        <w:t>a</w:t>
      </w:r>
      <w:r>
        <w:rPr>
          <w:rFonts w:ascii="Arial" w:hAnsi="Arial" w:cs="Arial"/>
          <w:color w:val="222222"/>
          <w:shd w:val="clear" w:color="auto" w:fill="FFFFFF"/>
        </w:rPr>
        <w:t xml:space="preserve">dministrative </w:t>
      </w:r>
      <w:r w:rsidR="004A6E13">
        <w:rPr>
          <w:rFonts w:ascii="Arial" w:hAnsi="Arial" w:cs="Arial"/>
          <w:color w:val="222222"/>
          <w:shd w:val="clear" w:color="auto" w:fill="FFFFFF"/>
        </w:rPr>
        <w:t>s</w:t>
      </w:r>
      <w:r>
        <w:rPr>
          <w:rFonts w:ascii="Arial" w:hAnsi="Arial" w:cs="Arial"/>
          <w:color w:val="222222"/>
          <w:shd w:val="clear" w:color="auto" w:fill="FFFFFF"/>
        </w:rPr>
        <w:t>tandards would be reviewed again for these institutions in order to determine certification for FY2020.</w:t>
      </w:r>
    </w:p>
    <w:p w:rsidR="003C314F" w:rsidRDefault="003C314F" w:rsidP="00515F1F">
      <w:pPr>
        <w:pStyle w:val="BodyText"/>
        <w:jc w:val="both"/>
        <w:rPr>
          <w:rFonts w:ascii="Arial" w:hAnsi="Arial" w:cs="Arial"/>
          <w:szCs w:val="20"/>
        </w:rPr>
      </w:pPr>
    </w:p>
    <w:p w:rsidR="00F55FB2" w:rsidRDefault="00F51D6E" w:rsidP="00515F1F">
      <w:pPr>
        <w:pStyle w:val="BodyText"/>
        <w:jc w:val="both"/>
        <w:rPr>
          <w:rFonts w:ascii="Arial" w:hAnsi="Arial" w:cs="Arial"/>
          <w:szCs w:val="20"/>
        </w:rPr>
      </w:pPr>
      <w:r>
        <w:rPr>
          <w:rFonts w:ascii="Arial" w:hAnsi="Arial" w:cs="Arial"/>
          <w:szCs w:val="20"/>
        </w:rPr>
        <w:t>Appendix F</w:t>
      </w:r>
      <w:r w:rsidR="00243D00">
        <w:rPr>
          <w:rFonts w:ascii="Arial" w:hAnsi="Arial" w:cs="Arial"/>
          <w:szCs w:val="20"/>
        </w:rPr>
        <w:t xml:space="preserve"> contains </w:t>
      </w:r>
      <w:r w:rsidR="00002538">
        <w:rPr>
          <w:rFonts w:ascii="Arial" w:hAnsi="Arial" w:cs="Arial"/>
          <w:szCs w:val="20"/>
        </w:rPr>
        <w:t xml:space="preserve">the specific results by standard for the Level </w:t>
      </w:r>
      <w:r w:rsidR="000C5A90">
        <w:rPr>
          <w:rFonts w:ascii="Arial" w:hAnsi="Arial" w:cs="Arial"/>
          <w:szCs w:val="20"/>
        </w:rPr>
        <w:t>Three</w:t>
      </w:r>
      <w:r w:rsidR="00434AC8">
        <w:rPr>
          <w:rFonts w:ascii="Arial" w:hAnsi="Arial" w:cs="Arial"/>
          <w:szCs w:val="20"/>
        </w:rPr>
        <w:t xml:space="preserve"> institutions. </w:t>
      </w:r>
      <w:r>
        <w:rPr>
          <w:rFonts w:ascii="Arial" w:hAnsi="Arial" w:cs="Arial"/>
          <w:szCs w:val="20"/>
        </w:rPr>
        <w:t>Appendix G</w:t>
      </w:r>
      <w:r w:rsidR="00002538">
        <w:rPr>
          <w:rFonts w:ascii="Arial" w:hAnsi="Arial" w:cs="Arial"/>
          <w:szCs w:val="20"/>
        </w:rPr>
        <w:t xml:space="preserve"> contains the specific results by standard for the Level </w:t>
      </w:r>
      <w:r w:rsidR="000C5A90">
        <w:rPr>
          <w:rFonts w:ascii="Arial" w:hAnsi="Arial" w:cs="Arial"/>
          <w:szCs w:val="20"/>
        </w:rPr>
        <w:t>One</w:t>
      </w:r>
      <w:r w:rsidR="00002538">
        <w:rPr>
          <w:rFonts w:ascii="Arial" w:hAnsi="Arial" w:cs="Arial"/>
          <w:szCs w:val="20"/>
        </w:rPr>
        <w:t xml:space="preserve"> and Level </w:t>
      </w:r>
      <w:r w:rsidR="000C5A90">
        <w:rPr>
          <w:rFonts w:ascii="Arial" w:hAnsi="Arial" w:cs="Arial"/>
          <w:szCs w:val="20"/>
        </w:rPr>
        <w:t>Two</w:t>
      </w:r>
      <w:r w:rsidR="00002538">
        <w:rPr>
          <w:rFonts w:ascii="Arial" w:hAnsi="Arial" w:cs="Arial"/>
          <w:szCs w:val="20"/>
        </w:rPr>
        <w:t xml:space="preserve"> institutions.</w:t>
      </w:r>
      <w:r w:rsidR="00434AC8">
        <w:rPr>
          <w:rFonts w:ascii="Arial" w:hAnsi="Arial" w:cs="Arial"/>
          <w:szCs w:val="20"/>
        </w:rPr>
        <w:t xml:space="preserve"> </w:t>
      </w:r>
      <w:r w:rsidR="000701B5">
        <w:rPr>
          <w:rFonts w:ascii="Arial" w:hAnsi="Arial" w:cs="Arial"/>
          <w:szCs w:val="20"/>
        </w:rPr>
        <w:t>Longwood University’s</w:t>
      </w:r>
      <w:r w:rsidR="00864C86">
        <w:rPr>
          <w:rFonts w:ascii="Arial" w:hAnsi="Arial" w:cs="Arial"/>
          <w:szCs w:val="20"/>
        </w:rPr>
        <w:t xml:space="preserve"> explanation regarding its results is contained in Appendix H. </w:t>
      </w:r>
      <w:r w:rsidR="000701B5">
        <w:rPr>
          <w:rFonts w:ascii="Arial" w:hAnsi="Arial" w:cs="Arial"/>
          <w:szCs w:val="20"/>
        </w:rPr>
        <w:t>Richard Bland College’s</w:t>
      </w:r>
      <w:r w:rsidR="00864C86">
        <w:rPr>
          <w:rFonts w:ascii="Arial" w:hAnsi="Arial" w:cs="Arial"/>
          <w:szCs w:val="20"/>
        </w:rPr>
        <w:t xml:space="preserve"> explanation is contained in Appendix I. </w:t>
      </w:r>
    </w:p>
    <w:p w:rsidR="00864C86" w:rsidRDefault="00864C86" w:rsidP="00515F1F">
      <w:pPr>
        <w:pStyle w:val="BodyText"/>
        <w:jc w:val="both"/>
        <w:rPr>
          <w:rFonts w:ascii="Arial" w:hAnsi="Arial" w:cs="Arial"/>
          <w:szCs w:val="20"/>
        </w:rPr>
      </w:pPr>
    </w:p>
    <w:p w:rsidR="004D47D3" w:rsidRDefault="00515F1F" w:rsidP="000720E2">
      <w:pPr>
        <w:pStyle w:val="Title"/>
        <w:tabs>
          <w:tab w:val="clear" w:pos="360"/>
        </w:tabs>
        <w:ind w:firstLine="0"/>
        <w:jc w:val="left"/>
        <w:rPr>
          <w:rFonts w:ascii="Arial" w:hAnsi="Arial" w:cs="Arial"/>
          <w:b/>
          <w:bCs/>
          <w:color w:val="auto"/>
        </w:rPr>
      </w:pPr>
      <w:r>
        <w:rPr>
          <w:rFonts w:ascii="Arial" w:hAnsi="Arial" w:cs="Arial"/>
          <w:b/>
          <w:bCs/>
          <w:color w:val="auto"/>
          <w:u w:val="single"/>
        </w:rPr>
        <w:t>Materials Provided</w:t>
      </w:r>
      <w:r>
        <w:rPr>
          <w:rFonts w:ascii="Arial" w:hAnsi="Arial" w:cs="Arial"/>
          <w:b/>
          <w:bCs/>
          <w:color w:val="auto"/>
        </w:rPr>
        <w:t xml:space="preserve">:  </w:t>
      </w:r>
    </w:p>
    <w:p w:rsidR="004D47D3" w:rsidRDefault="004D47D3" w:rsidP="000720E2">
      <w:pPr>
        <w:pStyle w:val="Title"/>
        <w:tabs>
          <w:tab w:val="clear" w:pos="360"/>
        </w:tabs>
        <w:ind w:firstLine="0"/>
        <w:jc w:val="left"/>
        <w:rPr>
          <w:rFonts w:ascii="Arial" w:hAnsi="Arial" w:cs="Arial"/>
          <w:b/>
          <w:bCs/>
          <w:color w:val="auto"/>
        </w:rPr>
      </w:pPr>
    </w:p>
    <w:p w:rsidR="00515F1F" w:rsidRDefault="00CB031B" w:rsidP="000720E2">
      <w:pPr>
        <w:pStyle w:val="Title"/>
        <w:tabs>
          <w:tab w:val="clear" w:pos="360"/>
        </w:tabs>
        <w:ind w:firstLine="0"/>
        <w:jc w:val="left"/>
        <w:rPr>
          <w:rFonts w:ascii="Arial" w:hAnsi="Arial" w:cs="Arial"/>
          <w:bCs/>
          <w:color w:val="auto"/>
        </w:rPr>
      </w:pPr>
      <w:r w:rsidRPr="00CB031B">
        <w:rPr>
          <w:rFonts w:ascii="Arial" w:hAnsi="Arial" w:cs="Arial"/>
          <w:bCs/>
          <w:color w:val="auto"/>
        </w:rPr>
        <w:t>Appendix</w:t>
      </w:r>
      <w:r w:rsidR="004D47D3">
        <w:rPr>
          <w:rFonts w:ascii="Arial" w:hAnsi="Arial" w:cs="Arial"/>
          <w:bCs/>
          <w:color w:val="auto"/>
        </w:rPr>
        <w:t xml:space="preserve"> A</w:t>
      </w:r>
      <w:r w:rsidRPr="00CB031B">
        <w:rPr>
          <w:rFonts w:ascii="Arial" w:hAnsi="Arial" w:cs="Arial"/>
          <w:bCs/>
          <w:color w:val="auto"/>
        </w:rPr>
        <w:t>:</w:t>
      </w:r>
      <w:r w:rsidR="000701B5">
        <w:rPr>
          <w:rFonts w:ascii="Arial" w:hAnsi="Arial" w:cs="Arial"/>
          <w:bCs/>
          <w:color w:val="auto"/>
        </w:rPr>
        <w:tab/>
      </w:r>
      <w:r w:rsidRPr="00CB031B">
        <w:rPr>
          <w:rFonts w:ascii="Arial" w:hAnsi="Arial" w:cs="Arial"/>
          <w:bCs/>
          <w:color w:val="auto"/>
        </w:rPr>
        <w:t xml:space="preserve"> </w:t>
      </w:r>
      <w:r w:rsidRPr="00CB031B">
        <w:rPr>
          <w:rFonts w:ascii="Arial" w:hAnsi="Arial" w:cs="Arial"/>
          <w:color w:val="auto"/>
        </w:rPr>
        <w:t>§</w:t>
      </w:r>
      <w:r w:rsidR="007C088B">
        <w:rPr>
          <w:rFonts w:ascii="Arial" w:hAnsi="Arial" w:cs="Arial"/>
          <w:color w:val="auto"/>
        </w:rPr>
        <w:t xml:space="preserve"> </w:t>
      </w:r>
      <w:hyperlink r:id="rId15" w:history="1">
        <w:r w:rsidRPr="0043181F">
          <w:rPr>
            <w:rStyle w:val="Hyperlink"/>
            <w:rFonts w:ascii="Arial" w:hAnsi="Arial" w:cs="Arial"/>
            <w:bCs/>
          </w:rPr>
          <w:t>4-9.01</w:t>
        </w:r>
      </w:hyperlink>
      <w:r w:rsidRPr="00CB031B">
        <w:rPr>
          <w:rFonts w:ascii="Arial" w:hAnsi="Arial" w:cs="Arial"/>
          <w:bCs/>
          <w:color w:val="auto"/>
        </w:rPr>
        <w:t xml:space="preserve"> Assessment of Institutional Performance</w:t>
      </w:r>
      <w:r w:rsidR="00B90032">
        <w:rPr>
          <w:rFonts w:ascii="Arial" w:hAnsi="Arial" w:cs="Arial"/>
          <w:bCs/>
          <w:color w:val="auto"/>
        </w:rPr>
        <w:t xml:space="preserve"> </w:t>
      </w:r>
    </w:p>
    <w:p w:rsidR="007C088B" w:rsidRDefault="007C088B" w:rsidP="000720E2">
      <w:pPr>
        <w:pStyle w:val="Title"/>
        <w:tabs>
          <w:tab w:val="clear" w:pos="360"/>
        </w:tabs>
        <w:ind w:firstLine="0"/>
        <w:jc w:val="left"/>
        <w:rPr>
          <w:rFonts w:ascii="Arial" w:hAnsi="Arial" w:cs="Arial"/>
          <w:color w:val="auto"/>
        </w:rPr>
      </w:pPr>
      <w:r>
        <w:rPr>
          <w:rFonts w:ascii="Arial" w:hAnsi="Arial" w:cs="Arial"/>
          <w:bCs/>
          <w:color w:val="auto"/>
        </w:rPr>
        <w:t>Appendix B:</w:t>
      </w:r>
      <w:r w:rsidR="000701B5">
        <w:rPr>
          <w:rFonts w:ascii="Arial" w:hAnsi="Arial" w:cs="Arial"/>
          <w:bCs/>
          <w:color w:val="auto"/>
        </w:rPr>
        <w:tab/>
      </w:r>
      <w:r>
        <w:rPr>
          <w:rFonts w:ascii="Arial" w:hAnsi="Arial" w:cs="Arial"/>
          <w:bCs/>
          <w:color w:val="auto"/>
        </w:rPr>
        <w:t xml:space="preserve"> </w:t>
      </w:r>
      <w:r w:rsidRPr="007C088B">
        <w:rPr>
          <w:rFonts w:ascii="Arial" w:hAnsi="Arial" w:cs="Arial"/>
          <w:color w:val="auto"/>
        </w:rPr>
        <w:t>§</w:t>
      </w:r>
      <w:r>
        <w:rPr>
          <w:rFonts w:ascii="Arial" w:hAnsi="Arial" w:cs="Arial"/>
          <w:color w:val="auto"/>
        </w:rPr>
        <w:t xml:space="preserve"> </w:t>
      </w:r>
      <w:hyperlink r:id="rId16" w:history="1">
        <w:r w:rsidRPr="0043181F">
          <w:rPr>
            <w:rStyle w:val="Hyperlink"/>
            <w:rFonts w:ascii="Arial" w:hAnsi="Arial" w:cs="Arial"/>
          </w:rPr>
          <w:t>23.1-1002</w:t>
        </w:r>
      </w:hyperlink>
      <w:r>
        <w:rPr>
          <w:rFonts w:ascii="Arial" w:hAnsi="Arial" w:cs="Arial"/>
          <w:color w:val="auto"/>
        </w:rPr>
        <w:t xml:space="preserve"> </w:t>
      </w:r>
      <w:r w:rsidR="00B80DF6">
        <w:rPr>
          <w:rFonts w:ascii="Arial" w:hAnsi="Arial" w:cs="Arial"/>
          <w:color w:val="auto"/>
        </w:rPr>
        <w:t xml:space="preserve">(Subsection C) </w:t>
      </w:r>
      <w:r>
        <w:rPr>
          <w:rFonts w:ascii="Arial" w:hAnsi="Arial" w:cs="Arial"/>
          <w:color w:val="auto"/>
        </w:rPr>
        <w:t>Eligibility for Restructured Financial and Administrative</w:t>
      </w:r>
      <w:r w:rsidR="00B80DF6">
        <w:rPr>
          <w:rFonts w:ascii="Arial" w:hAnsi="Arial" w:cs="Arial"/>
          <w:color w:val="auto"/>
        </w:rPr>
        <w:t xml:space="preserve"> </w:t>
      </w:r>
      <w:r>
        <w:rPr>
          <w:rFonts w:ascii="Arial" w:hAnsi="Arial" w:cs="Arial"/>
          <w:color w:val="auto"/>
        </w:rPr>
        <w:t>Operational Authority and Financial Benefits</w:t>
      </w:r>
    </w:p>
    <w:p w:rsidR="005F0DDC" w:rsidRDefault="005F0DDC" w:rsidP="000720E2">
      <w:pPr>
        <w:pStyle w:val="Title"/>
        <w:tabs>
          <w:tab w:val="clear" w:pos="360"/>
        </w:tabs>
        <w:ind w:firstLine="0"/>
        <w:jc w:val="left"/>
        <w:rPr>
          <w:rFonts w:ascii="Arial" w:hAnsi="Arial" w:cs="Arial"/>
          <w:color w:val="auto"/>
        </w:rPr>
      </w:pPr>
      <w:r>
        <w:rPr>
          <w:rFonts w:ascii="Arial" w:hAnsi="Arial" w:cs="Arial"/>
          <w:color w:val="auto"/>
        </w:rPr>
        <w:t>Appendix C:</w:t>
      </w:r>
      <w:r w:rsidR="000701B5">
        <w:rPr>
          <w:rFonts w:ascii="Arial" w:hAnsi="Arial" w:cs="Arial"/>
          <w:color w:val="auto"/>
        </w:rPr>
        <w:tab/>
      </w:r>
      <w:r>
        <w:rPr>
          <w:rFonts w:ascii="Arial" w:hAnsi="Arial" w:cs="Arial"/>
          <w:color w:val="auto"/>
        </w:rPr>
        <w:t xml:space="preserve"> </w:t>
      </w:r>
      <w:r w:rsidR="00F51D6E">
        <w:rPr>
          <w:rFonts w:ascii="Arial" w:hAnsi="Arial" w:cs="Arial"/>
          <w:color w:val="auto"/>
        </w:rPr>
        <w:t>General Fund Financial Benefits of Restructuring Certification</w:t>
      </w:r>
    </w:p>
    <w:p w:rsidR="00F51D6E" w:rsidRDefault="00F51D6E" w:rsidP="000720E2">
      <w:pPr>
        <w:pStyle w:val="Title"/>
        <w:tabs>
          <w:tab w:val="clear" w:pos="360"/>
        </w:tabs>
        <w:ind w:firstLine="0"/>
        <w:jc w:val="left"/>
        <w:rPr>
          <w:rFonts w:ascii="Arial" w:hAnsi="Arial" w:cs="Arial"/>
          <w:color w:val="auto"/>
        </w:rPr>
      </w:pPr>
      <w:r>
        <w:rPr>
          <w:rFonts w:ascii="Arial" w:hAnsi="Arial" w:cs="Arial"/>
          <w:color w:val="auto"/>
        </w:rPr>
        <w:t>Appendix D:</w:t>
      </w:r>
      <w:r w:rsidR="000701B5">
        <w:rPr>
          <w:rFonts w:ascii="Arial" w:hAnsi="Arial" w:cs="Arial"/>
          <w:color w:val="auto"/>
        </w:rPr>
        <w:tab/>
        <w:t xml:space="preserve"> </w:t>
      </w:r>
      <w:r>
        <w:rPr>
          <w:rFonts w:ascii="Arial" w:hAnsi="Arial" w:cs="Arial"/>
          <w:color w:val="auto"/>
        </w:rPr>
        <w:t>Remediation Plan for Norfolk State University</w:t>
      </w:r>
    </w:p>
    <w:p w:rsidR="00F51D6E" w:rsidRDefault="00F51D6E" w:rsidP="000720E2">
      <w:pPr>
        <w:pStyle w:val="Title"/>
        <w:tabs>
          <w:tab w:val="clear" w:pos="360"/>
        </w:tabs>
        <w:ind w:firstLine="0"/>
        <w:jc w:val="left"/>
        <w:rPr>
          <w:rFonts w:ascii="Arial" w:hAnsi="Arial" w:cs="Arial"/>
          <w:color w:val="auto"/>
        </w:rPr>
      </w:pPr>
      <w:r>
        <w:rPr>
          <w:rFonts w:ascii="Arial" w:hAnsi="Arial" w:cs="Arial"/>
          <w:color w:val="auto"/>
        </w:rPr>
        <w:t>Appendix E:</w:t>
      </w:r>
      <w:r w:rsidR="000701B5">
        <w:rPr>
          <w:rFonts w:ascii="Arial" w:hAnsi="Arial" w:cs="Arial"/>
          <w:color w:val="auto"/>
        </w:rPr>
        <w:tab/>
        <w:t xml:space="preserve"> </w:t>
      </w:r>
      <w:r>
        <w:rPr>
          <w:rFonts w:ascii="Arial" w:hAnsi="Arial" w:cs="Arial"/>
          <w:color w:val="auto"/>
        </w:rPr>
        <w:t>Remediation Plan for Richard Bland College</w:t>
      </w:r>
    </w:p>
    <w:p w:rsidR="00E16B37" w:rsidRDefault="00F51D6E" w:rsidP="000720E2">
      <w:pPr>
        <w:pStyle w:val="Title"/>
        <w:tabs>
          <w:tab w:val="clear" w:pos="360"/>
        </w:tabs>
        <w:ind w:firstLine="0"/>
        <w:jc w:val="left"/>
        <w:rPr>
          <w:rFonts w:ascii="Arial" w:hAnsi="Arial" w:cs="Arial"/>
          <w:color w:val="auto"/>
        </w:rPr>
      </w:pPr>
      <w:r>
        <w:rPr>
          <w:rFonts w:ascii="Arial" w:hAnsi="Arial" w:cs="Arial"/>
          <w:color w:val="auto"/>
        </w:rPr>
        <w:t>Appendix F:</w:t>
      </w:r>
      <w:r w:rsidR="000701B5">
        <w:rPr>
          <w:rFonts w:ascii="Arial" w:hAnsi="Arial" w:cs="Arial"/>
          <w:color w:val="auto"/>
        </w:rPr>
        <w:tab/>
        <w:t xml:space="preserve"> </w:t>
      </w:r>
      <w:r w:rsidR="00E16B37">
        <w:rPr>
          <w:rFonts w:ascii="Arial" w:hAnsi="Arial" w:cs="Arial"/>
          <w:color w:val="auto"/>
        </w:rPr>
        <w:t xml:space="preserve">Results of </w:t>
      </w:r>
      <w:r w:rsidR="000C5A90">
        <w:rPr>
          <w:rFonts w:ascii="Arial" w:hAnsi="Arial" w:cs="Arial"/>
          <w:color w:val="auto"/>
        </w:rPr>
        <w:t xml:space="preserve">the Review of the </w:t>
      </w:r>
      <w:r>
        <w:rPr>
          <w:rFonts w:ascii="Arial" w:hAnsi="Arial" w:cs="Arial"/>
          <w:color w:val="auto"/>
        </w:rPr>
        <w:t xml:space="preserve">Financial and Administrative Standards </w:t>
      </w:r>
      <w:r w:rsidR="00E16B37">
        <w:rPr>
          <w:rFonts w:ascii="Arial" w:hAnsi="Arial" w:cs="Arial"/>
          <w:color w:val="auto"/>
        </w:rPr>
        <w:t xml:space="preserve">for Level </w:t>
      </w:r>
      <w:r w:rsidR="000C5A90">
        <w:rPr>
          <w:rFonts w:ascii="Arial" w:hAnsi="Arial" w:cs="Arial"/>
          <w:color w:val="auto"/>
        </w:rPr>
        <w:t>Three</w:t>
      </w:r>
      <w:r w:rsidR="00E16B37">
        <w:rPr>
          <w:rFonts w:ascii="Arial" w:hAnsi="Arial" w:cs="Arial"/>
          <w:color w:val="auto"/>
        </w:rPr>
        <w:t xml:space="preserve"> Institutions</w:t>
      </w:r>
    </w:p>
    <w:p w:rsidR="00F51D6E" w:rsidRDefault="00E16B37" w:rsidP="000720E2">
      <w:pPr>
        <w:pStyle w:val="Title"/>
        <w:tabs>
          <w:tab w:val="clear" w:pos="360"/>
        </w:tabs>
        <w:ind w:firstLine="0"/>
        <w:jc w:val="left"/>
        <w:rPr>
          <w:rFonts w:ascii="Arial" w:hAnsi="Arial" w:cs="Arial"/>
          <w:color w:val="auto"/>
        </w:rPr>
      </w:pPr>
      <w:r>
        <w:rPr>
          <w:rFonts w:ascii="Arial" w:hAnsi="Arial" w:cs="Arial"/>
          <w:color w:val="auto"/>
        </w:rPr>
        <w:t>Appendix G:</w:t>
      </w:r>
      <w:r w:rsidR="000701B5">
        <w:rPr>
          <w:rFonts w:ascii="Arial" w:hAnsi="Arial" w:cs="Arial"/>
          <w:color w:val="auto"/>
        </w:rPr>
        <w:tab/>
      </w:r>
      <w:r w:rsidR="00657BD5">
        <w:rPr>
          <w:rFonts w:ascii="Arial" w:hAnsi="Arial" w:cs="Arial"/>
          <w:color w:val="auto"/>
        </w:rPr>
        <w:t xml:space="preserve"> </w:t>
      </w:r>
      <w:r>
        <w:rPr>
          <w:rFonts w:ascii="Arial" w:hAnsi="Arial" w:cs="Arial"/>
          <w:color w:val="auto"/>
        </w:rPr>
        <w:t xml:space="preserve">Results of </w:t>
      </w:r>
      <w:r w:rsidR="000C5A90">
        <w:rPr>
          <w:rFonts w:ascii="Arial" w:hAnsi="Arial" w:cs="Arial"/>
          <w:color w:val="auto"/>
        </w:rPr>
        <w:t xml:space="preserve">the Review of the </w:t>
      </w:r>
      <w:r>
        <w:rPr>
          <w:rFonts w:ascii="Arial" w:hAnsi="Arial" w:cs="Arial"/>
          <w:color w:val="auto"/>
        </w:rPr>
        <w:t xml:space="preserve">Financial and Administrative Standards for Level </w:t>
      </w:r>
      <w:r w:rsidR="000C5A90">
        <w:rPr>
          <w:rFonts w:ascii="Arial" w:hAnsi="Arial" w:cs="Arial"/>
          <w:color w:val="auto"/>
        </w:rPr>
        <w:t>One</w:t>
      </w:r>
      <w:r>
        <w:rPr>
          <w:rFonts w:ascii="Arial" w:hAnsi="Arial" w:cs="Arial"/>
          <w:color w:val="auto"/>
        </w:rPr>
        <w:t xml:space="preserve"> and Level </w:t>
      </w:r>
      <w:r w:rsidR="000C5A90">
        <w:rPr>
          <w:rFonts w:ascii="Arial" w:hAnsi="Arial" w:cs="Arial"/>
          <w:color w:val="auto"/>
        </w:rPr>
        <w:t>Two</w:t>
      </w:r>
      <w:r>
        <w:rPr>
          <w:rFonts w:ascii="Arial" w:hAnsi="Arial" w:cs="Arial"/>
          <w:color w:val="auto"/>
        </w:rPr>
        <w:t xml:space="preserve"> Institutions.</w:t>
      </w:r>
      <w:r w:rsidR="00434AC8">
        <w:rPr>
          <w:rFonts w:ascii="Arial" w:hAnsi="Arial" w:cs="Arial"/>
          <w:color w:val="auto"/>
        </w:rPr>
        <w:t xml:space="preserve"> </w:t>
      </w:r>
    </w:p>
    <w:p w:rsidR="000701B5" w:rsidRDefault="000701B5" w:rsidP="000720E2">
      <w:pPr>
        <w:pStyle w:val="Title"/>
        <w:tabs>
          <w:tab w:val="clear" w:pos="360"/>
        </w:tabs>
        <w:ind w:firstLine="0"/>
        <w:jc w:val="left"/>
        <w:rPr>
          <w:rFonts w:ascii="Arial" w:hAnsi="Arial" w:cs="Arial"/>
          <w:color w:val="auto"/>
        </w:rPr>
      </w:pPr>
      <w:r>
        <w:rPr>
          <w:rFonts w:ascii="Arial" w:hAnsi="Arial" w:cs="Arial"/>
          <w:color w:val="auto"/>
        </w:rPr>
        <w:t>Appendix H:</w:t>
      </w:r>
      <w:r>
        <w:rPr>
          <w:rFonts w:ascii="Arial" w:hAnsi="Arial" w:cs="Arial"/>
          <w:color w:val="auto"/>
        </w:rPr>
        <w:tab/>
        <w:t xml:space="preserve"> Comments from Longwood University Regarding Its Results </w:t>
      </w:r>
      <w:r w:rsidR="00D14396">
        <w:rPr>
          <w:rFonts w:ascii="Arial" w:hAnsi="Arial" w:cs="Arial"/>
          <w:color w:val="auto"/>
        </w:rPr>
        <w:t>from</w:t>
      </w:r>
      <w:r>
        <w:rPr>
          <w:rFonts w:ascii="Arial" w:hAnsi="Arial" w:cs="Arial"/>
          <w:color w:val="auto"/>
        </w:rPr>
        <w:t xml:space="preserve"> the Financial and Administrative Standards</w:t>
      </w:r>
      <w:r w:rsidR="00DD0552">
        <w:rPr>
          <w:rFonts w:ascii="Arial" w:hAnsi="Arial" w:cs="Arial"/>
          <w:color w:val="auto"/>
        </w:rPr>
        <w:t xml:space="preserve"> Review</w:t>
      </w:r>
    </w:p>
    <w:p w:rsidR="000701B5" w:rsidRDefault="000701B5" w:rsidP="000720E2">
      <w:pPr>
        <w:pStyle w:val="Title"/>
        <w:tabs>
          <w:tab w:val="clear" w:pos="360"/>
        </w:tabs>
        <w:ind w:firstLine="0"/>
        <w:jc w:val="left"/>
        <w:rPr>
          <w:rFonts w:ascii="Arial" w:hAnsi="Arial" w:cs="Arial"/>
          <w:color w:val="auto"/>
        </w:rPr>
      </w:pPr>
      <w:r>
        <w:rPr>
          <w:rFonts w:ascii="Arial" w:hAnsi="Arial" w:cs="Arial"/>
          <w:color w:val="auto"/>
        </w:rPr>
        <w:t>Appendix I:</w:t>
      </w:r>
      <w:r>
        <w:rPr>
          <w:rFonts w:ascii="Arial" w:hAnsi="Arial" w:cs="Arial"/>
          <w:color w:val="auto"/>
        </w:rPr>
        <w:tab/>
        <w:t xml:space="preserve"> Comments from Richard Bland College Regarding Its Results </w:t>
      </w:r>
      <w:r w:rsidR="00D14396">
        <w:rPr>
          <w:rFonts w:ascii="Arial" w:hAnsi="Arial" w:cs="Arial"/>
          <w:color w:val="auto"/>
        </w:rPr>
        <w:t>from</w:t>
      </w:r>
      <w:r>
        <w:rPr>
          <w:rFonts w:ascii="Arial" w:hAnsi="Arial" w:cs="Arial"/>
          <w:color w:val="auto"/>
        </w:rPr>
        <w:t xml:space="preserve"> the Financial and Administrative Standards</w:t>
      </w:r>
      <w:r w:rsidR="00DD0552">
        <w:rPr>
          <w:rFonts w:ascii="Arial" w:hAnsi="Arial" w:cs="Arial"/>
          <w:color w:val="auto"/>
        </w:rPr>
        <w:t xml:space="preserve"> Review</w:t>
      </w:r>
    </w:p>
    <w:p w:rsidR="00B80DF6" w:rsidRDefault="00B80DF6" w:rsidP="000720E2">
      <w:pPr>
        <w:pStyle w:val="Title"/>
        <w:tabs>
          <w:tab w:val="clear" w:pos="360"/>
        </w:tabs>
        <w:ind w:firstLine="0"/>
        <w:jc w:val="left"/>
        <w:rPr>
          <w:rFonts w:ascii="Arial" w:hAnsi="Arial" w:cs="Arial"/>
          <w:bCs/>
          <w:color w:val="auto"/>
        </w:rPr>
      </w:pPr>
    </w:p>
    <w:p w:rsidR="00515F1F" w:rsidRDefault="00515F1F" w:rsidP="00515F1F">
      <w:pPr>
        <w:pStyle w:val="Title"/>
        <w:ind w:firstLine="0"/>
        <w:jc w:val="both"/>
        <w:outlineLvl w:val="0"/>
        <w:rPr>
          <w:rFonts w:ascii="Arial" w:hAnsi="Arial" w:cs="Arial"/>
          <w:color w:val="auto"/>
        </w:rPr>
      </w:pPr>
      <w:r>
        <w:rPr>
          <w:rFonts w:ascii="Arial" w:hAnsi="Arial" w:cs="Arial"/>
          <w:b/>
          <w:bCs/>
          <w:color w:val="auto"/>
          <w:u w:val="single"/>
        </w:rPr>
        <w:t>Financial Impact</w:t>
      </w:r>
      <w:r>
        <w:rPr>
          <w:rFonts w:ascii="Arial" w:hAnsi="Arial" w:cs="Arial"/>
          <w:b/>
          <w:bCs/>
          <w:color w:val="auto"/>
        </w:rPr>
        <w:t xml:space="preserve">:  </w:t>
      </w:r>
      <w:r>
        <w:rPr>
          <w:rFonts w:ascii="Arial" w:hAnsi="Arial" w:cs="Arial"/>
          <w:bCs/>
          <w:color w:val="auto"/>
        </w:rPr>
        <w:t xml:space="preserve">Certified institutions are eligible to receive financial benefits listed in </w:t>
      </w:r>
      <w:r w:rsidR="00B80DF6">
        <w:rPr>
          <w:rFonts w:ascii="Arial" w:hAnsi="Arial" w:cs="Arial"/>
          <w:bCs/>
          <w:color w:val="auto"/>
        </w:rPr>
        <w:t>Appendix B</w:t>
      </w:r>
      <w:r w:rsidR="00B90032">
        <w:rPr>
          <w:rFonts w:ascii="Arial" w:hAnsi="Arial" w:cs="Arial"/>
          <w:bCs/>
          <w:color w:val="auto"/>
        </w:rPr>
        <w:t>.</w:t>
      </w:r>
      <w:r>
        <w:rPr>
          <w:rFonts w:ascii="Arial" w:hAnsi="Arial" w:cs="Arial"/>
          <w:bCs/>
          <w:color w:val="auto"/>
        </w:rPr>
        <w:t xml:space="preserve"> </w:t>
      </w:r>
      <w:r w:rsidR="00E16B37">
        <w:rPr>
          <w:rFonts w:ascii="Arial" w:hAnsi="Arial" w:cs="Arial"/>
          <w:bCs/>
          <w:color w:val="auto"/>
        </w:rPr>
        <w:t>Information about financial benefits of restructuring certification from FY2007 through FY2017 is provided in Appendix C.</w:t>
      </w:r>
    </w:p>
    <w:p w:rsidR="00515F1F" w:rsidRDefault="00515F1F" w:rsidP="00515F1F">
      <w:pPr>
        <w:pStyle w:val="Title"/>
        <w:ind w:firstLine="0"/>
        <w:jc w:val="both"/>
        <w:rPr>
          <w:rFonts w:ascii="Arial" w:hAnsi="Arial" w:cs="Arial"/>
          <w:b/>
          <w:bCs/>
          <w:color w:val="auto"/>
        </w:rPr>
      </w:pPr>
    </w:p>
    <w:p w:rsidR="00515F1F" w:rsidRPr="00A27EBB" w:rsidRDefault="00515F1F" w:rsidP="00515F1F">
      <w:pPr>
        <w:pStyle w:val="Title"/>
        <w:ind w:firstLine="0"/>
        <w:jc w:val="both"/>
        <w:outlineLvl w:val="0"/>
        <w:rPr>
          <w:rFonts w:ascii="Arial" w:hAnsi="Arial" w:cs="Arial"/>
          <w:bCs/>
          <w:color w:val="auto"/>
        </w:rPr>
      </w:pPr>
      <w:r>
        <w:rPr>
          <w:rFonts w:ascii="Arial" w:hAnsi="Arial" w:cs="Arial"/>
          <w:b/>
          <w:bCs/>
          <w:color w:val="auto"/>
          <w:u w:val="single"/>
        </w:rPr>
        <w:t>Timetable for Further Review/Action</w:t>
      </w:r>
      <w:r>
        <w:rPr>
          <w:rFonts w:ascii="Arial" w:hAnsi="Arial" w:cs="Arial"/>
          <w:b/>
          <w:bCs/>
          <w:color w:val="auto"/>
        </w:rPr>
        <w:t xml:space="preserve">: </w:t>
      </w:r>
      <w:r w:rsidR="00E16B37">
        <w:rPr>
          <w:rFonts w:ascii="Arial" w:hAnsi="Arial" w:cs="Arial"/>
          <w:bCs/>
          <w:color w:val="auto"/>
        </w:rPr>
        <w:t>This review complete</w:t>
      </w:r>
      <w:r w:rsidR="00434AC8">
        <w:rPr>
          <w:rFonts w:ascii="Arial" w:hAnsi="Arial" w:cs="Arial"/>
          <w:bCs/>
          <w:color w:val="auto"/>
        </w:rPr>
        <w:t xml:space="preserve">s the 2018 assessment process. </w:t>
      </w:r>
      <w:r w:rsidR="00E16B37">
        <w:rPr>
          <w:rFonts w:ascii="Arial" w:hAnsi="Arial" w:cs="Arial"/>
          <w:bCs/>
          <w:color w:val="auto"/>
        </w:rPr>
        <w:t>The next review must be completed by October 1, 2020.</w:t>
      </w:r>
    </w:p>
    <w:p w:rsidR="00515F1F" w:rsidRDefault="00515F1F" w:rsidP="00515F1F">
      <w:pPr>
        <w:pStyle w:val="Title"/>
        <w:ind w:firstLine="0"/>
        <w:jc w:val="both"/>
        <w:outlineLvl w:val="0"/>
        <w:rPr>
          <w:rFonts w:ascii="Arial" w:hAnsi="Arial" w:cs="Arial"/>
          <w:color w:val="auto"/>
        </w:rPr>
      </w:pPr>
      <w:r>
        <w:rPr>
          <w:rFonts w:ascii="Arial" w:hAnsi="Arial" w:cs="Arial"/>
          <w:b/>
          <w:bCs/>
          <w:color w:val="auto"/>
        </w:rPr>
        <w:t xml:space="preserve"> </w:t>
      </w:r>
    </w:p>
    <w:p w:rsidR="00E16B37" w:rsidRDefault="00515F1F" w:rsidP="00515F1F">
      <w:pPr>
        <w:pStyle w:val="Title"/>
        <w:ind w:firstLine="0"/>
        <w:jc w:val="both"/>
        <w:rPr>
          <w:rFonts w:ascii="Arial" w:hAnsi="Arial" w:cs="Arial"/>
          <w:b/>
          <w:bCs/>
          <w:color w:val="auto"/>
        </w:rPr>
      </w:pPr>
      <w:r>
        <w:rPr>
          <w:rFonts w:ascii="Arial" w:hAnsi="Arial" w:cs="Arial"/>
          <w:b/>
          <w:bCs/>
          <w:color w:val="auto"/>
          <w:u w:val="single"/>
        </w:rPr>
        <w:t>Resolution</w:t>
      </w:r>
      <w:r>
        <w:rPr>
          <w:rFonts w:ascii="Arial" w:hAnsi="Arial" w:cs="Arial"/>
          <w:b/>
          <w:bCs/>
          <w:color w:val="auto"/>
        </w:rPr>
        <w:t xml:space="preserve">: </w:t>
      </w:r>
    </w:p>
    <w:p w:rsidR="00E16B37" w:rsidRDefault="00E16B37" w:rsidP="00515F1F">
      <w:pPr>
        <w:pStyle w:val="Title"/>
        <w:ind w:firstLine="0"/>
        <w:jc w:val="both"/>
        <w:rPr>
          <w:rFonts w:ascii="Arial" w:hAnsi="Arial" w:cs="Arial"/>
          <w:b/>
          <w:bCs/>
          <w:color w:val="auto"/>
        </w:rPr>
      </w:pPr>
    </w:p>
    <w:p w:rsidR="00515F1F" w:rsidRPr="0082303C" w:rsidRDefault="00E16B37" w:rsidP="00515F1F">
      <w:pPr>
        <w:pStyle w:val="Title"/>
        <w:ind w:firstLine="0"/>
        <w:jc w:val="both"/>
        <w:rPr>
          <w:b/>
          <w:color w:val="000000"/>
        </w:rPr>
      </w:pPr>
      <w:r>
        <w:rPr>
          <w:rFonts w:ascii="Arial" w:hAnsi="Arial" w:cs="Arial"/>
          <w:b/>
          <w:bCs/>
          <w:color w:val="auto"/>
        </w:rPr>
        <w:tab/>
      </w:r>
      <w:r w:rsidR="00434AC8">
        <w:rPr>
          <w:rFonts w:ascii="Arial" w:hAnsi="Arial" w:cs="Arial"/>
          <w:b/>
          <w:bCs/>
          <w:color w:val="auto"/>
        </w:rPr>
        <w:tab/>
      </w:r>
      <w:r w:rsidRPr="0082303C">
        <w:rPr>
          <w:rFonts w:ascii="Arial" w:hAnsi="Arial" w:cs="Arial"/>
          <w:b/>
          <w:color w:val="auto"/>
        </w:rPr>
        <w:t>BE IT RESOLVED that consistent with § 23.1-206, Code of Virginia, the State Council of Higher Education for Virginia certifies for 2018-2019</w:t>
      </w:r>
      <w:r w:rsidR="0082303C">
        <w:rPr>
          <w:rFonts w:ascii="Arial" w:hAnsi="Arial" w:cs="Arial"/>
          <w:b/>
          <w:color w:val="auto"/>
        </w:rPr>
        <w:t xml:space="preserve"> and 2019-2020</w:t>
      </w:r>
      <w:r w:rsidRPr="0082303C">
        <w:rPr>
          <w:rFonts w:ascii="Arial" w:hAnsi="Arial" w:cs="Arial"/>
          <w:b/>
          <w:color w:val="auto"/>
        </w:rPr>
        <w:t xml:space="preserve"> </w:t>
      </w:r>
      <w:r w:rsidR="0082303C">
        <w:rPr>
          <w:rFonts w:ascii="Arial" w:hAnsi="Arial" w:cs="Arial"/>
          <w:b/>
          <w:color w:val="auto"/>
        </w:rPr>
        <w:t>that all institutions, except Longwood University and Richard Bland College,</w:t>
      </w:r>
      <w:r w:rsidRPr="0082303C">
        <w:rPr>
          <w:rFonts w:ascii="Arial" w:hAnsi="Arial" w:cs="Arial"/>
          <w:b/>
          <w:color w:val="auto"/>
        </w:rPr>
        <w:t xml:space="preserve"> have satisfactorily met the performance standards of the Virginia Higher Education Opportunity Act and Appropriation</w:t>
      </w:r>
      <w:r w:rsidR="00434AC8">
        <w:rPr>
          <w:rFonts w:ascii="Arial" w:hAnsi="Arial" w:cs="Arial"/>
          <w:b/>
          <w:color w:val="auto"/>
        </w:rPr>
        <w:t xml:space="preserve"> Act. </w:t>
      </w:r>
      <w:r w:rsidR="0082303C">
        <w:rPr>
          <w:rFonts w:ascii="Arial" w:hAnsi="Arial" w:cs="Arial"/>
          <w:b/>
          <w:color w:val="auto"/>
        </w:rPr>
        <w:t xml:space="preserve">Longwood University and Richard Bland College will be certified for </w:t>
      </w:r>
      <w:r w:rsidR="00834302">
        <w:rPr>
          <w:rFonts w:ascii="Arial" w:hAnsi="Arial" w:cs="Arial"/>
          <w:b/>
          <w:color w:val="auto"/>
        </w:rPr>
        <w:t>the</w:t>
      </w:r>
      <w:r w:rsidR="0082303C">
        <w:rPr>
          <w:rFonts w:ascii="Arial" w:hAnsi="Arial" w:cs="Arial"/>
          <w:b/>
          <w:color w:val="auto"/>
        </w:rPr>
        <w:t xml:space="preserve"> probationary period of </w:t>
      </w:r>
      <w:r w:rsidR="00434AC8">
        <w:rPr>
          <w:rFonts w:ascii="Arial" w:hAnsi="Arial" w:cs="Arial"/>
          <w:b/>
          <w:color w:val="auto"/>
        </w:rPr>
        <w:t xml:space="preserve">2018-2019. </w:t>
      </w:r>
      <w:r w:rsidR="00834302">
        <w:rPr>
          <w:rFonts w:ascii="Arial" w:hAnsi="Arial" w:cs="Arial"/>
          <w:b/>
          <w:color w:val="auto"/>
        </w:rPr>
        <w:t>The Financial and Administrative Standards for these two institutions will be reviewed in the summer of 2019 to determine certification for 2019-2020.</w:t>
      </w:r>
    </w:p>
    <w:p w:rsidR="00D73970" w:rsidRPr="0082303C" w:rsidRDefault="00D73970">
      <w:pPr>
        <w:rPr>
          <w:b/>
          <w:color w:val="auto"/>
          <w:sz w:val="24"/>
          <w:szCs w:val="24"/>
        </w:rPr>
      </w:pPr>
      <w:r w:rsidRPr="0082303C">
        <w:rPr>
          <w:b/>
          <w:color w:val="auto"/>
          <w:sz w:val="24"/>
          <w:szCs w:val="24"/>
        </w:rPr>
        <w:br w:type="page"/>
      </w:r>
    </w:p>
    <w:p w:rsidR="0067257D" w:rsidRPr="00A70BD2" w:rsidRDefault="0067257D" w:rsidP="00D73970">
      <w:pPr>
        <w:spacing w:before="100" w:beforeAutospacing="1" w:after="100" w:afterAutospacing="1"/>
        <w:ind w:left="270"/>
        <w:rPr>
          <w:rFonts w:ascii="Arial" w:hAnsi="Arial" w:cs="Arial"/>
          <w:color w:val="auto"/>
          <w:sz w:val="28"/>
          <w:szCs w:val="28"/>
        </w:rPr>
      </w:pPr>
      <w:r w:rsidRPr="00A70BD2">
        <w:rPr>
          <w:rFonts w:ascii="Arial" w:hAnsi="Arial" w:cs="Arial"/>
          <w:color w:val="auto"/>
          <w:sz w:val="28"/>
          <w:szCs w:val="28"/>
        </w:rPr>
        <w:t xml:space="preserve">APPENDIX </w:t>
      </w:r>
      <w:r w:rsidR="004D47D3" w:rsidRPr="00A70BD2">
        <w:rPr>
          <w:rFonts w:ascii="Arial" w:hAnsi="Arial" w:cs="Arial"/>
          <w:color w:val="auto"/>
          <w:sz w:val="28"/>
          <w:szCs w:val="28"/>
        </w:rPr>
        <w:t>A</w:t>
      </w:r>
    </w:p>
    <w:p w:rsidR="0067257D" w:rsidRPr="00DD7626" w:rsidRDefault="0067257D" w:rsidP="0067257D">
      <w:pPr>
        <w:spacing w:before="100" w:beforeAutospacing="1" w:after="100" w:afterAutospacing="1"/>
        <w:ind w:left="270"/>
        <w:rPr>
          <w:rFonts w:ascii="Arial" w:hAnsi="Arial" w:cs="Arial"/>
          <w:color w:val="auto"/>
          <w:sz w:val="24"/>
          <w:szCs w:val="24"/>
        </w:rPr>
      </w:pPr>
      <w:r w:rsidRPr="00DD7626">
        <w:rPr>
          <w:rFonts w:ascii="Arial" w:hAnsi="Arial" w:cs="Arial"/>
          <w:color w:val="auto"/>
          <w:sz w:val="24"/>
          <w:szCs w:val="24"/>
        </w:rPr>
        <w:t>§</w:t>
      </w:r>
      <w:r w:rsidR="0043181F">
        <w:rPr>
          <w:rFonts w:ascii="Arial" w:hAnsi="Arial" w:cs="Arial"/>
          <w:color w:val="auto"/>
          <w:sz w:val="24"/>
          <w:szCs w:val="24"/>
        </w:rPr>
        <w:t xml:space="preserve"> </w:t>
      </w:r>
      <w:hyperlink r:id="rId17" w:history="1">
        <w:r w:rsidR="0043181F" w:rsidRPr="0043181F">
          <w:rPr>
            <w:rStyle w:val="Hyperlink"/>
            <w:rFonts w:ascii="Arial" w:hAnsi="Arial" w:cs="Arial"/>
            <w:bCs/>
            <w:sz w:val="24"/>
            <w:szCs w:val="24"/>
          </w:rPr>
          <w:t>4-9.01</w:t>
        </w:r>
      </w:hyperlink>
      <w:r w:rsidRPr="00DD7626">
        <w:rPr>
          <w:rFonts w:ascii="Arial" w:hAnsi="Arial" w:cs="Arial"/>
          <w:color w:val="auto"/>
          <w:sz w:val="24"/>
          <w:szCs w:val="24"/>
        </w:rPr>
        <w:t xml:space="preserve"> ASSESSMENT OF INSTITUTIONAL PERFORMANCE</w:t>
      </w:r>
    </w:p>
    <w:p w:rsidR="0067257D" w:rsidRPr="00DD7626" w:rsidRDefault="0067257D" w:rsidP="008E580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 xml:space="preserve">Consistent with </w:t>
      </w:r>
      <w:r w:rsidRPr="00D409EB">
        <w:rPr>
          <w:rFonts w:ascii="Arial" w:hAnsi="Arial" w:cs="Arial"/>
          <w:color w:val="auto"/>
          <w:sz w:val="24"/>
          <w:szCs w:val="24"/>
        </w:rPr>
        <w:t>§</w:t>
      </w:r>
      <w:r w:rsidR="0043181F">
        <w:rPr>
          <w:rFonts w:ascii="Arial" w:hAnsi="Arial" w:cs="Arial"/>
          <w:color w:val="auto"/>
          <w:sz w:val="24"/>
          <w:szCs w:val="24"/>
        </w:rPr>
        <w:t xml:space="preserve"> </w:t>
      </w:r>
      <w:hyperlink r:id="rId18" w:history="1">
        <w:r w:rsidR="00D409EB" w:rsidRPr="00D409EB">
          <w:rPr>
            <w:rStyle w:val="Hyperlink"/>
            <w:rFonts w:ascii="Arial" w:eastAsia="SimSun" w:hAnsi="Arial" w:cs="Arial"/>
            <w:sz w:val="24"/>
            <w:szCs w:val="24"/>
          </w:rPr>
          <w:t>23.1-206</w:t>
        </w:r>
      </w:hyperlink>
      <w:r w:rsidR="00D409EB">
        <w:rPr>
          <w:rFonts w:ascii="Arial" w:eastAsia="SimSun" w:hAnsi="Arial" w:cs="Arial"/>
          <w:sz w:val="24"/>
          <w:szCs w:val="24"/>
        </w:rPr>
        <w:t xml:space="preserve"> </w:t>
      </w:r>
      <w:r w:rsidRPr="00DD7626">
        <w:rPr>
          <w:rFonts w:ascii="Arial" w:hAnsi="Arial" w:cs="Arial"/>
          <w:color w:val="auto"/>
          <w:sz w:val="24"/>
          <w:szCs w:val="24"/>
        </w:rPr>
        <w:t>Code of Virginia, the following education-related and financial and administrative management measures shall be the basis on which the State Council of Higher Education shall annually assess and certify institutional performance. Such certification shall be completed and forwarded in writing to the Governor and the General Assembly no later than October 1 of each even-numbered year.  Institutional performance on measures set forth in paragraph D of this section shall be evaluated year-to-date by the Secreta</w:t>
      </w:r>
      <w:r w:rsidR="00BB572C">
        <w:rPr>
          <w:rFonts w:ascii="Arial" w:hAnsi="Arial" w:cs="Arial"/>
          <w:color w:val="auto"/>
          <w:sz w:val="24"/>
          <w:szCs w:val="24"/>
        </w:rPr>
        <w:t>ries of Finance, Administration</w:t>
      </w:r>
      <w:r w:rsidRPr="00DD7626">
        <w:rPr>
          <w:rFonts w:ascii="Arial" w:hAnsi="Arial" w:cs="Arial"/>
          <w:color w:val="auto"/>
          <w:sz w:val="24"/>
          <w:szCs w:val="24"/>
        </w:rPr>
        <w:t xml:space="preserve"> and Technology as appropriate, and communicated to the State Council of Higher Education before October</w:t>
      </w:r>
      <w:r w:rsidR="00BB572C">
        <w:rPr>
          <w:rFonts w:ascii="Arial" w:hAnsi="Arial" w:cs="Arial"/>
          <w:color w:val="auto"/>
          <w:sz w:val="24"/>
          <w:szCs w:val="24"/>
        </w:rPr>
        <w:t xml:space="preserve"> 1 of each even-numbered year. </w:t>
      </w:r>
      <w:r w:rsidRPr="00DD7626">
        <w:rPr>
          <w:rFonts w:ascii="Arial" w:hAnsi="Arial" w:cs="Arial"/>
          <w:color w:val="auto"/>
          <w:sz w:val="24"/>
          <w:szCs w:val="24"/>
        </w:rPr>
        <w:t xml:space="preserve">Financial benefits provided to each institution in accordance with </w:t>
      </w:r>
      <w:r w:rsidR="00B80DF6" w:rsidRPr="00B80DF6">
        <w:rPr>
          <w:rFonts w:ascii="Arial" w:hAnsi="Arial" w:cs="Arial"/>
          <w:color w:val="auto"/>
          <w:sz w:val="24"/>
          <w:szCs w:val="24"/>
        </w:rPr>
        <w:t>§</w:t>
      </w:r>
      <w:r w:rsidR="0043181F">
        <w:rPr>
          <w:rFonts w:ascii="Arial" w:hAnsi="Arial" w:cs="Arial"/>
          <w:color w:val="auto"/>
          <w:sz w:val="24"/>
          <w:szCs w:val="24"/>
        </w:rPr>
        <w:t xml:space="preserve"> </w:t>
      </w:r>
      <w:hyperlink r:id="rId19" w:history="1">
        <w:r w:rsidR="00B80DF6" w:rsidRPr="00B80DF6">
          <w:rPr>
            <w:rStyle w:val="Hyperlink"/>
            <w:rFonts w:ascii="Arial" w:hAnsi="Arial" w:cs="Arial"/>
            <w:sz w:val="24"/>
            <w:szCs w:val="24"/>
          </w:rPr>
          <w:t>23.1-1002</w:t>
        </w:r>
      </w:hyperlink>
      <w:r w:rsidRPr="00DD7626">
        <w:rPr>
          <w:rFonts w:ascii="Arial" w:hAnsi="Arial" w:cs="Arial"/>
          <w:color w:val="auto"/>
          <w:sz w:val="24"/>
          <w:szCs w:val="24"/>
        </w:rPr>
        <w:t xml:space="preserve"> will be evaluated in light of that institution’s performance.</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In general, institutions are expected to achieve all performance measures in order to be certified by SCHEV, but it is understood that there can be circumstances beyond an institution’s control that may prevent achieving one</w:t>
      </w:r>
      <w:r w:rsidR="00BB572C">
        <w:rPr>
          <w:rFonts w:ascii="Arial" w:hAnsi="Arial" w:cs="Arial"/>
          <w:color w:val="auto"/>
          <w:sz w:val="24"/>
          <w:szCs w:val="24"/>
        </w:rPr>
        <w:t xml:space="preserve"> or more performance measures. </w:t>
      </w:r>
      <w:r w:rsidRPr="00DD7626">
        <w:rPr>
          <w:rFonts w:ascii="Arial" w:hAnsi="Arial" w:cs="Arial"/>
          <w:color w:val="auto"/>
          <w:sz w:val="24"/>
          <w:szCs w:val="24"/>
        </w:rPr>
        <w:t>The Council shall consider, in consultation with each institution, such factors in its review: (1) institutions meeting all performance measures will be certified by the Council and recommended to receive the financial benefits, (2) institutions that do not meet all performance measures will be evaluated by the Council and the Council may take one or more of the following actions: (a) request the institution provide a remediation plan and recommend that the Governor withhold release of financial benefits until Council review of the remediation plan or (b) recommend that the Governor withhold all or part of financial benefits.</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Further, the State Council shall have broad authority to certify institutions as having met the standards on education-related measures. The State Council shall likewise have the authority to exempt institutions from certification on education-related measures that the State Council deems unrelated to an institution’s mission or unnecessary given the institution’s level of performance.</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The State Council may develop, adopt, and publish standards for granting exemptions and ongoing modifications to the certification process.</w:t>
      </w:r>
    </w:p>
    <w:p w:rsidR="0067257D" w:rsidRPr="00DD7626" w:rsidRDefault="0067257D" w:rsidP="00B02826">
      <w:pPr>
        <w:spacing w:before="100" w:beforeAutospacing="1" w:after="100" w:afterAutospacing="1"/>
        <w:ind w:firstLine="270"/>
        <w:jc w:val="both"/>
        <w:rPr>
          <w:rFonts w:ascii="Arial" w:hAnsi="Arial" w:cs="Arial"/>
          <w:color w:val="auto"/>
          <w:sz w:val="24"/>
          <w:szCs w:val="24"/>
        </w:rPr>
      </w:pPr>
      <w:r w:rsidRPr="00DD7626">
        <w:rPr>
          <w:rFonts w:ascii="Arial" w:hAnsi="Arial" w:cs="Arial"/>
          <w:color w:val="auto"/>
          <w:sz w:val="24"/>
          <w:szCs w:val="24"/>
        </w:rPr>
        <w:t>a. BIENNIAL ASSESSMENTS</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1. Institution meets at least 95 percent of its State Council-approved biennial projections for in-state undergraduate headcount enrollment.</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2. Institution meets at least 95 percent of its State Council-approved biennial projections for the number of in-state associate and bachelor degree awards.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3. Institution meets at least 95 percent of its State Council-approved biennial projections for the number of in-state STEM-H (Science, Technology, Engineering, Ma</w:t>
      </w:r>
      <w:r w:rsidR="00BB572C">
        <w:rPr>
          <w:rFonts w:ascii="Arial" w:hAnsi="Arial" w:cs="Arial"/>
          <w:color w:val="auto"/>
          <w:sz w:val="24"/>
          <w:szCs w:val="24"/>
        </w:rPr>
        <w:t>thematics</w:t>
      </w:r>
      <w:r w:rsidRPr="00DD7626">
        <w:rPr>
          <w:rFonts w:ascii="Arial" w:hAnsi="Arial" w:cs="Arial"/>
          <w:color w:val="auto"/>
          <w:sz w:val="24"/>
          <w:szCs w:val="24"/>
        </w:rPr>
        <w:t xml:space="preserve"> and Health professions) associate and bachelor degree awards.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 xml:space="preserve">4. Institution meets at least 95 percent of its State Council-approved biennial projections for the number of in-state, upper level </w:t>
      </w:r>
      <w:r w:rsidR="00DD7626">
        <w:rPr>
          <w:rFonts w:ascii="Arial" w:hAnsi="Arial" w:cs="Arial"/>
          <w:color w:val="auto"/>
          <w:sz w:val="24"/>
          <w:szCs w:val="24"/>
        </w:rPr>
        <w:t>–</w:t>
      </w:r>
      <w:r w:rsidRPr="00DD7626">
        <w:rPr>
          <w:rFonts w:ascii="Arial" w:hAnsi="Arial" w:cs="Arial"/>
          <w:color w:val="auto"/>
          <w:sz w:val="24"/>
          <w:szCs w:val="24"/>
        </w:rPr>
        <w:t xml:space="preserve"> sophomore level for two-year institutions and junior and senior level for four-year institutions </w:t>
      </w:r>
      <w:r w:rsidR="00DD7626">
        <w:rPr>
          <w:rFonts w:ascii="Arial" w:hAnsi="Arial" w:cs="Arial"/>
          <w:color w:val="auto"/>
          <w:sz w:val="24"/>
          <w:szCs w:val="24"/>
        </w:rPr>
        <w:t>–</w:t>
      </w:r>
      <w:r w:rsidRPr="00DD7626">
        <w:rPr>
          <w:rFonts w:ascii="Arial" w:hAnsi="Arial" w:cs="Arial"/>
          <w:color w:val="auto"/>
          <w:sz w:val="24"/>
          <w:szCs w:val="24"/>
        </w:rPr>
        <w:t xml:space="preserve"> program-placed, full-time equivalent students.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5. Maintain or increase the number of in-state associate and bachelor degrees awarded to students from under-represented populations.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6. Maintain or increase the number of in-state two-year transfers to four-year institutions.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d. FINANCIAL AND ADMINISTRATIVE STANDARDS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The financial and administrative standards apply to all institutions except those governed under Chapters 933 and 943 of the 2006 Acts of Assembly, Chapters 594 and 616 of the 2008 Acts of Assembly, and Chapters 675 and 685 of the 2009 Acts of Assembly.</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1. As specified in § 2.2-5004, Code of Virginia, institution takes all appropriate actions to meet the following financial and administrative standards: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a) An unqualified opinion from the Auditor of Public Accounts upon the audit of the public institution’s financial statements;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b) No significant audit deficiencies attested to by the Auditor of Public Accounts;</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c) Substantial compliance with all financial reporting standards approved by the State Comptroller;</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d) Substantial attainment of accounts receivable standards approved by the State Comptroller, including but not limited to, any standards for outstanding receivables and bad debts; and</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e) Substantial attainment of accounts payable standards approved by the State Comptroller including, but not limited to, any standards for accounts payable past due.</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2. Institution complies with a debt management policy approved by its governing board that defines the maximum percent of institutional resources that can be used to pay debt service in a fiscal year, and the maximum amount of debt that can be prudently issued within a specified period.</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3. The institution will achieve the classified staff turnover rate goal established by the institution; however, a variance of 15 percent from the established goal will be acceptable.</w:t>
      </w:r>
    </w:p>
    <w:p w:rsidR="0067257D" w:rsidRPr="00DD7626" w:rsidRDefault="0067257D" w:rsidP="00413247">
      <w:pPr>
        <w:spacing w:before="100" w:beforeAutospacing="1" w:after="100" w:afterAutospacing="1"/>
        <w:ind w:left="288"/>
        <w:jc w:val="both"/>
        <w:rPr>
          <w:rFonts w:ascii="Arial" w:hAnsi="Arial" w:cs="Arial"/>
          <w:color w:val="auto"/>
          <w:sz w:val="24"/>
          <w:szCs w:val="24"/>
        </w:rPr>
      </w:pPr>
      <w:r w:rsidRPr="00DD7626">
        <w:rPr>
          <w:rFonts w:ascii="Arial" w:hAnsi="Arial" w:cs="Arial"/>
          <w:color w:val="auto"/>
          <w:sz w:val="24"/>
          <w:szCs w:val="24"/>
        </w:rPr>
        <w:t>4. The institution will substantially comply with its annual approved Small, Women and Minority (SWAM) plan as submitted to the Department of Small Business and Supplier Diversity; however, a variance of 15 percent from its SWAM purchase goal, as stated in the plan, will be acceptable.</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The institution will make no less than 75 percent of dollar purchases through the Commonwealth’s enterprise-wide internet procurement system (eVA) from vendor locations registered in eVA.</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5. The institution will complete capital projects (with an individual cost of over $1,000,000) within the budget originally approved by the institution’s governing board for projects initiated under delegated authority, or the budget set out in the Appropriation Act or other Acts of Assembly. If the institution exceeds the budget for any such project, the Secretaries of Administration and Finance shall review the circumstances causing the cost overrun and the manner in which the institution responded and determine whether the institution shall be considered in compliance with the measure despite the cost overrun.</w:t>
      </w:r>
    </w:p>
    <w:p w:rsidR="0067257D" w:rsidRPr="00DD7626" w:rsidRDefault="0067257D" w:rsidP="00B02826">
      <w:pPr>
        <w:spacing w:before="100" w:beforeAutospacing="1" w:after="100" w:afterAutospacing="1"/>
        <w:ind w:left="270"/>
        <w:jc w:val="both"/>
        <w:rPr>
          <w:rFonts w:ascii="Arial" w:hAnsi="Arial" w:cs="Arial"/>
          <w:color w:val="auto"/>
          <w:sz w:val="24"/>
          <w:szCs w:val="24"/>
        </w:rPr>
      </w:pPr>
      <w:r w:rsidRPr="00DD7626">
        <w:rPr>
          <w:rFonts w:ascii="Arial" w:hAnsi="Arial" w:cs="Arial"/>
          <w:color w:val="auto"/>
          <w:sz w:val="24"/>
          <w:szCs w:val="24"/>
        </w:rPr>
        <w:t>6. The institution will complete major information technology projects (with an individual cost of over $1,000,000) within the budgets and schedules originally approved by the institution’s governing board. If the institution exceeds the budget and/or time schedule for any such project, the Secretary of Technology shall review the circumstances causing the cost overrun and/or delay and the manner in which the institution responded and determine whether the institution appropriately adhered to Project Management Institute’s best management practices and, therefore, shall be considered in compliance with the measure despite the cost overrun and/or delay.</w:t>
      </w:r>
    </w:p>
    <w:p w:rsidR="0067257D" w:rsidRPr="00DD7626" w:rsidRDefault="0067257D" w:rsidP="00B02826">
      <w:pPr>
        <w:autoSpaceDE w:val="0"/>
        <w:autoSpaceDN w:val="0"/>
        <w:adjustRightInd w:val="0"/>
        <w:ind w:firstLine="270"/>
        <w:jc w:val="both"/>
        <w:rPr>
          <w:rFonts w:ascii="Arial" w:eastAsiaTheme="minorHAnsi" w:hAnsi="Arial" w:cs="Arial"/>
          <w:color w:val="auto"/>
          <w:sz w:val="24"/>
          <w:szCs w:val="24"/>
        </w:rPr>
      </w:pPr>
      <w:r w:rsidRPr="00DD7626">
        <w:rPr>
          <w:rFonts w:ascii="Arial" w:eastAsiaTheme="minorHAnsi" w:hAnsi="Arial" w:cs="Arial"/>
          <w:color w:val="auto"/>
          <w:sz w:val="24"/>
          <w:szCs w:val="24"/>
        </w:rPr>
        <w:t>e. FINANCIAL AND ADMINISTRATIVE STANDARDS</w:t>
      </w:r>
    </w:p>
    <w:p w:rsidR="0067257D" w:rsidRPr="00DD7626" w:rsidRDefault="0067257D" w:rsidP="00B02826">
      <w:pPr>
        <w:autoSpaceDE w:val="0"/>
        <w:autoSpaceDN w:val="0"/>
        <w:adjustRightInd w:val="0"/>
        <w:jc w:val="both"/>
        <w:rPr>
          <w:rFonts w:ascii="Arial" w:eastAsiaTheme="minorHAnsi" w:hAnsi="Arial" w:cs="Arial"/>
          <w:color w:val="auto"/>
          <w:sz w:val="24"/>
          <w:szCs w:val="24"/>
        </w:rPr>
      </w:pPr>
    </w:p>
    <w:p w:rsidR="0067257D" w:rsidRPr="00DD7626" w:rsidRDefault="0067257D" w:rsidP="00B02826">
      <w:pPr>
        <w:autoSpaceDE w:val="0"/>
        <w:autoSpaceDN w:val="0"/>
        <w:adjustRightInd w:val="0"/>
        <w:ind w:left="270"/>
        <w:jc w:val="both"/>
        <w:rPr>
          <w:rFonts w:ascii="Arial" w:eastAsiaTheme="minorHAnsi" w:hAnsi="Arial" w:cs="Arial"/>
          <w:color w:val="auto"/>
          <w:sz w:val="24"/>
          <w:szCs w:val="24"/>
        </w:rPr>
      </w:pPr>
      <w:r w:rsidRPr="00DD7626">
        <w:rPr>
          <w:rFonts w:ascii="Arial" w:eastAsiaTheme="minorHAnsi" w:hAnsi="Arial" w:cs="Arial"/>
          <w:color w:val="auto"/>
          <w:sz w:val="24"/>
          <w:szCs w:val="24"/>
        </w:rPr>
        <w:t>The financial and administrative standards apply to institutions governed under Chapters 933 and 943 of the 2006 Acts of Assembly, Chapters 594 and 616 of the 2008 Acts of Assembly, and Chapters 675 and 685 of the 2009 Acts of Assembly. They shall be measured by the administrative standards outlined in the Management Agreements and § 4-9.02.d.4. of this act. However, the Governor may supplement or replace those administrative performance measures with the administrative performance meas</w:t>
      </w:r>
      <w:r w:rsidR="00BB572C">
        <w:rPr>
          <w:rFonts w:ascii="Arial" w:eastAsiaTheme="minorHAnsi" w:hAnsi="Arial" w:cs="Arial"/>
          <w:color w:val="auto"/>
          <w:sz w:val="24"/>
          <w:szCs w:val="24"/>
        </w:rPr>
        <w:t xml:space="preserve">ures listed in this paragraph. </w:t>
      </w:r>
      <w:r w:rsidRPr="00DD7626">
        <w:rPr>
          <w:rFonts w:ascii="Arial" w:eastAsiaTheme="minorHAnsi" w:hAnsi="Arial" w:cs="Arial"/>
          <w:color w:val="auto"/>
          <w:sz w:val="24"/>
          <w:szCs w:val="24"/>
        </w:rPr>
        <w:t>Effective July 1, 2009, the following administrative and financial measures shall be used for the assessment of institutional performance for institutions governed under Chapters 933 and 943 of the 2006 Acts of Assembly and those governed under Chapters 594 and 616 of the 2008 Acts of Assembly, and Chapters 675 and 685 of the 2009 Acts of Assembly.</w:t>
      </w:r>
    </w:p>
    <w:p w:rsidR="0067257D" w:rsidRPr="00DD7626" w:rsidRDefault="0067257D" w:rsidP="00B02826">
      <w:pPr>
        <w:autoSpaceDE w:val="0"/>
        <w:autoSpaceDN w:val="0"/>
        <w:adjustRightInd w:val="0"/>
        <w:jc w:val="both"/>
        <w:rPr>
          <w:rFonts w:ascii="Arial" w:eastAsiaTheme="minorHAnsi" w:hAnsi="Arial" w:cs="Arial"/>
          <w:color w:val="auto"/>
          <w:sz w:val="24"/>
          <w:szCs w:val="24"/>
        </w:rPr>
      </w:pPr>
    </w:p>
    <w:p w:rsidR="0067257D" w:rsidRPr="00DD7626" w:rsidRDefault="0067257D" w:rsidP="00B02826">
      <w:pPr>
        <w:autoSpaceDE w:val="0"/>
        <w:autoSpaceDN w:val="0"/>
        <w:adjustRightInd w:val="0"/>
        <w:ind w:firstLine="270"/>
        <w:jc w:val="both"/>
        <w:rPr>
          <w:rFonts w:ascii="Arial" w:eastAsiaTheme="minorHAnsi" w:hAnsi="Arial" w:cs="Arial"/>
          <w:color w:val="auto"/>
          <w:sz w:val="24"/>
          <w:szCs w:val="24"/>
        </w:rPr>
      </w:pPr>
      <w:r w:rsidRPr="00DD7626">
        <w:rPr>
          <w:rFonts w:ascii="Arial" w:eastAsiaTheme="minorHAnsi" w:hAnsi="Arial" w:cs="Arial"/>
          <w:color w:val="auto"/>
          <w:sz w:val="24"/>
          <w:szCs w:val="24"/>
        </w:rPr>
        <w:t>1. Financial</w:t>
      </w:r>
    </w:p>
    <w:p w:rsidR="0067257D" w:rsidRPr="00DD7626" w:rsidRDefault="0067257D" w:rsidP="00B02826">
      <w:pPr>
        <w:autoSpaceDE w:val="0"/>
        <w:autoSpaceDN w:val="0"/>
        <w:adjustRightInd w:val="0"/>
        <w:jc w:val="both"/>
        <w:rPr>
          <w:rFonts w:ascii="Arial" w:eastAsiaTheme="minorHAnsi" w:hAnsi="Arial" w:cs="Arial"/>
          <w:color w:val="auto"/>
          <w:sz w:val="24"/>
          <w:szCs w:val="24"/>
        </w:rPr>
      </w:pPr>
    </w:p>
    <w:p w:rsidR="0067257D" w:rsidRPr="00DD7626" w:rsidRDefault="0067257D" w:rsidP="005F1CAD">
      <w:pPr>
        <w:pStyle w:val="ListParagraph"/>
        <w:numPr>
          <w:ilvl w:val="0"/>
          <w:numId w:val="4"/>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An unqualified opinion from the Auditor of Public Accounts upon the audit of the public institution</w:t>
      </w:r>
      <w:r w:rsidR="00DD7626">
        <w:rPr>
          <w:rFonts w:ascii="Arial" w:eastAsiaTheme="minorHAnsi" w:hAnsi="Arial" w:cs="Arial"/>
          <w:color w:val="auto"/>
          <w:sz w:val="24"/>
          <w:szCs w:val="24"/>
        </w:rPr>
        <w:t>’</w:t>
      </w:r>
      <w:r w:rsidRPr="00DD7626">
        <w:rPr>
          <w:rFonts w:ascii="Arial" w:eastAsiaTheme="minorHAnsi" w:hAnsi="Arial" w:cs="Arial"/>
          <w:color w:val="auto"/>
          <w:sz w:val="24"/>
          <w:szCs w:val="24"/>
        </w:rPr>
        <w:t>s financial statements;</w:t>
      </w:r>
    </w:p>
    <w:p w:rsidR="0067257D" w:rsidRPr="00DD7626" w:rsidRDefault="0067257D" w:rsidP="005F1CAD">
      <w:pPr>
        <w:autoSpaceDE w:val="0"/>
        <w:autoSpaceDN w:val="0"/>
        <w:adjustRightInd w:val="0"/>
        <w:ind w:left="360" w:firstLine="270"/>
        <w:jc w:val="both"/>
        <w:rPr>
          <w:rFonts w:ascii="Arial" w:eastAsiaTheme="minorHAnsi" w:hAnsi="Arial" w:cs="Arial"/>
          <w:color w:val="auto"/>
          <w:sz w:val="24"/>
          <w:szCs w:val="24"/>
        </w:rPr>
      </w:pPr>
    </w:p>
    <w:p w:rsidR="0067257D" w:rsidRPr="00DD7626" w:rsidRDefault="0067257D" w:rsidP="005F1CAD">
      <w:pPr>
        <w:pStyle w:val="ListParagraph"/>
        <w:numPr>
          <w:ilvl w:val="0"/>
          <w:numId w:val="4"/>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No significant audit deficiencies attested to by the Auditor of Public Accounts;</w:t>
      </w:r>
    </w:p>
    <w:p w:rsidR="0067257D" w:rsidRPr="00DD7626" w:rsidRDefault="0067257D" w:rsidP="005F1CAD">
      <w:pPr>
        <w:pStyle w:val="ListParagraph"/>
        <w:ind w:left="1080"/>
        <w:jc w:val="both"/>
        <w:rPr>
          <w:rFonts w:ascii="Arial" w:eastAsiaTheme="minorHAnsi" w:hAnsi="Arial" w:cs="Arial"/>
          <w:color w:val="auto"/>
          <w:sz w:val="24"/>
          <w:szCs w:val="24"/>
        </w:rPr>
      </w:pPr>
    </w:p>
    <w:p w:rsidR="0067257D" w:rsidRPr="00DD7626" w:rsidRDefault="0067257D" w:rsidP="005F1CAD">
      <w:pPr>
        <w:pStyle w:val="ListParagraph"/>
        <w:numPr>
          <w:ilvl w:val="0"/>
          <w:numId w:val="4"/>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Substantial compliance with all financial reporting standards approved by the State Comptroller;</w:t>
      </w:r>
    </w:p>
    <w:p w:rsidR="0067257D" w:rsidRPr="00DD7626" w:rsidRDefault="0067257D" w:rsidP="005F1CAD">
      <w:pPr>
        <w:pStyle w:val="ListParagraph"/>
        <w:ind w:left="1080"/>
        <w:jc w:val="both"/>
        <w:rPr>
          <w:rFonts w:ascii="Arial" w:eastAsiaTheme="minorHAnsi" w:hAnsi="Arial" w:cs="Arial"/>
          <w:color w:val="auto"/>
          <w:sz w:val="24"/>
          <w:szCs w:val="24"/>
        </w:rPr>
      </w:pPr>
    </w:p>
    <w:p w:rsidR="0067257D" w:rsidRPr="00DD7626" w:rsidRDefault="0067257D" w:rsidP="005F1CAD">
      <w:pPr>
        <w:pStyle w:val="ListParagraph"/>
        <w:numPr>
          <w:ilvl w:val="0"/>
          <w:numId w:val="4"/>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Substantial attainment of accounts receivable standards approved by the State  Comptroller, including but not limited to, any standards for outstanding receivables and bad debts; and</w:t>
      </w:r>
    </w:p>
    <w:p w:rsidR="0067257D" w:rsidRPr="00DD7626" w:rsidRDefault="0067257D" w:rsidP="005F1CAD">
      <w:pPr>
        <w:pStyle w:val="ListParagraph"/>
        <w:ind w:left="1080"/>
        <w:jc w:val="both"/>
        <w:rPr>
          <w:rFonts w:ascii="Arial" w:eastAsiaTheme="minorHAnsi" w:hAnsi="Arial" w:cs="Arial"/>
          <w:color w:val="auto"/>
          <w:sz w:val="24"/>
          <w:szCs w:val="24"/>
        </w:rPr>
      </w:pPr>
    </w:p>
    <w:p w:rsidR="0067257D" w:rsidRPr="00DD7626" w:rsidRDefault="0067257D" w:rsidP="005F1CAD">
      <w:pPr>
        <w:pStyle w:val="ListParagraph"/>
        <w:numPr>
          <w:ilvl w:val="0"/>
          <w:numId w:val="4"/>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Substantial attainment of accounts payable standards approved by the State Comptroller including, but not limited to, any standards for accounts payable past due.</w:t>
      </w:r>
    </w:p>
    <w:p w:rsidR="0067257D" w:rsidRPr="00DD7626" w:rsidRDefault="0067257D" w:rsidP="00B02826">
      <w:pPr>
        <w:pStyle w:val="ListParagraph"/>
        <w:jc w:val="both"/>
        <w:rPr>
          <w:rFonts w:ascii="Arial" w:eastAsiaTheme="minorHAnsi" w:hAnsi="Arial" w:cs="Arial"/>
          <w:color w:val="auto"/>
          <w:sz w:val="24"/>
          <w:szCs w:val="24"/>
        </w:rPr>
      </w:pPr>
    </w:p>
    <w:p w:rsidR="0067257D" w:rsidRPr="00DD7626" w:rsidRDefault="0067257D" w:rsidP="00B02826">
      <w:pPr>
        <w:autoSpaceDE w:val="0"/>
        <w:autoSpaceDN w:val="0"/>
        <w:adjustRightInd w:val="0"/>
        <w:ind w:firstLine="270"/>
        <w:jc w:val="both"/>
        <w:rPr>
          <w:rFonts w:ascii="Arial" w:eastAsiaTheme="minorHAnsi" w:hAnsi="Arial" w:cs="Arial"/>
          <w:color w:val="auto"/>
          <w:sz w:val="24"/>
          <w:szCs w:val="24"/>
        </w:rPr>
      </w:pPr>
      <w:r w:rsidRPr="00DD7626">
        <w:rPr>
          <w:rFonts w:ascii="Arial" w:eastAsiaTheme="minorHAnsi" w:hAnsi="Arial" w:cs="Arial"/>
          <w:color w:val="auto"/>
          <w:sz w:val="24"/>
          <w:szCs w:val="24"/>
        </w:rPr>
        <w:t>2. Debt Management</w:t>
      </w:r>
    </w:p>
    <w:p w:rsidR="0067257D" w:rsidRPr="00DD7626" w:rsidRDefault="0067257D" w:rsidP="00B02826">
      <w:pPr>
        <w:autoSpaceDE w:val="0"/>
        <w:autoSpaceDN w:val="0"/>
        <w:adjustRightInd w:val="0"/>
        <w:jc w:val="both"/>
        <w:rPr>
          <w:rFonts w:ascii="Arial" w:eastAsiaTheme="minorHAnsi" w:hAnsi="Arial" w:cs="Arial"/>
          <w:color w:val="auto"/>
          <w:sz w:val="24"/>
          <w:szCs w:val="24"/>
        </w:rPr>
      </w:pPr>
    </w:p>
    <w:p w:rsidR="0067257D" w:rsidRPr="00DD7626" w:rsidRDefault="0067257D" w:rsidP="005F1CAD">
      <w:pPr>
        <w:pStyle w:val="ListParagraph"/>
        <w:numPr>
          <w:ilvl w:val="0"/>
          <w:numId w:val="5"/>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The institution shall maintain a bond rating of AA- or better;</w:t>
      </w:r>
    </w:p>
    <w:p w:rsidR="009665B8" w:rsidRPr="00DD7626" w:rsidRDefault="009665B8" w:rsidP="005F1CAD">
      <w:pPr>
        <w:autoSpaceDE w:val="0"/>
        <w:autoSpaceDN w:val="0"/>
        <w:adjustRightInd w:val="0"/>
        <w:ind w:left="360"/>
        <w:jc w:val="both"/>
        <w:rPr>
          <w:rFonts w:ascii="Arial" w:eastAsiaTheme="minorHAnsi" w:hAnsi="Arial" w:cs="Arial"/>
          <w:color w:val="auto"/>
          <w:sz w:val="24"/>
          <w:szCs w:val="24"/>
        </w:rPr>
      </w:pPr>
    </w:p>
    <w:p w:rsidR="0067257D" w:rsidRPr="00DD7626" w:rsidRDefault="0067257D" w:rsidP="005F1CAD">
      <w:pPr>
        <w:pStyle w:val="ListParagraph"/>
        <w:numPr>
          <w:ilvl w:val="0"/>
          <w:numId w:val="5"/>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The institution achieves a three-year average rate of return at least equal to the imoney.net money market index fund; and</w:t>
      </w:r>
    </w:p>
    <w:p w:rsidR="005F1CAD" w:rsidRPr="00DD7626" w:rsidRDefault="005F1CAD" w:rsidP="005F1CAD">
      <w:pPr>
        <w:autoSpaceDE w:val="0"/>
        <w:autoSpaceDN w:val="0"/>
        <w:adjustRightInd w:val="0"/>
        <w:jc w:val="both"/>
        <w:rPr>
          <w:rFonts w:ascii="Arial" w:eastAsiaTheme="minorHAnsi" w:hAnsi="Arial" w:cs="Arial"/>
          <w:color w:val="auto"/>
          <w:sz w:val="24"/>
          <w:szCs w:val="24"/>
        </w:rPr>
      </w:pPr>
    </w:p>
    <w:p w:rsidR="00DD7626" w:rsidRDefault="005F1CAD" w:rsidP="005F1CAD">
      <w:pPr>
        <w:autoSpaceDE w:val="0"/>
        <w:autoSpaceDN w:val="0"/>
        <w:adjustRightInd w:val="0"/>
        <w:ind w:left="630"/>
        <w:jc w:val="both"/>
        <w:rPr>
          <w:rFonts w:ascii="Arial" w:eastAsiaTheme="minorHAnsi" w:hAnsi="Arial" w:cs="Arial"/>
          <w:color w:val="auto"/>
          <w:sz w:val="24"/>
          <w:szCs w:val="24"/>
        </w:rPr>
      </w:pPr>
      <w:r w:rsidRPr="00DD7626">
        <w:rPr>
          <w:rFonts w:ascii="Arial" w:eastAsiaTheme="minorHAnsi" w:hAnsi="Arial" w:cs="Arial"/>
          <w:color w:val="auto"/>
          <w:sz w:val="24"/>
          <w:szCs w:val="24"/>
        </w:rPr>
        <w:t xml:space="preserve">c)  </w:t>
      </w:r>
      <w:r w:rsidR="00DD7626">
        <w:rPr>
          <w:rFonts w:ascii="Arial" w:eastAsiaTheme="minorHAnsi" w:hAnsi="Arial" w:cs="Arial"/>
          <w:color w:val="auto"/>
          <w:sz w:val="24"/>
          <w:szCs w:val="24"/>
        </w:rPr>
        <w:t>T</w:t>
      </w:r>
      <w:r w:rsidRPr="00DD7626">
        <w:rPr>
          <w:rFonts w:ascii="Arial" w:eastAsiaTheme="minorHAnsi" w:hAnsi="Arial" w:cs="Arial"/>
          <w:color w:val="auto"/>
          <w:sz w:val="24"/>
          <w:szCs w:val="24"/>
        </w:rPr>
        <w:t xml:space="preserve">he institution maintains a debt burden ratio equal to or less than the level </w:t>
      </w:r>
    </w:p>
    <w:p w:rsidR="005F1CAD" w:rsidRPr="00DD7626" w:rsidRDefault="00DD7626" w:rsidP="005F1CAD">
      <w:pPr>
        <w:autoSpaceDE w:val="0"/>
        <w:autoSpaceDN w:val="0"/>
        <w:adjustRightInd w:val="0"/>
        <w:ind w:left="630"/>
        <w:jc w:val="both"/>
        <w:rPr>
          <w:rFonts w:ascii="Arial" w:eastAsiaTheme="minorHAnsi" w:hAnsi="Arial" w:cs="Arial"/>
          <w:color w:val="auto"/>
          <w:sz w:val="24"/>
          <w:szCs w:val="24"/>
        </w:rPr>
      </w:pPr>
      <w:r>
        <w:rPr>
          <w:rFonts w:ascii="Arial" w:eastAsiaTheme="minorHAnsi" w:hAnsi="Arial" w:cs="Arial"/>
          <w:color w:val="auto"/>
          <w:sz w:val="24"/>
          <w:szCs w:val="24"/>
        </w:rPr>
        <w:t xml:space="preserve">     </w:t>
      </w:r>
      <w:r w:rsidR="005F1CAD" w:rsidRPr="00DD7626">
        <w:rPr>
          <w:rFonts w:ascii="Arial" w:eastAsiaTheme="minorHAnsi" w:hAnsi="Arial" w:cs="Arial"/>
          <w:color w:val="auto"/>
          <w:sz w:val="24"/>
          <w:szCs w:val="24"/>
        </w:rPr>
        <w:t>approved by the Board of Visitors in its debt management policy.</w:t>
      </w:r>
    </w:p>
    <w:p w:rsidR="009665B8" w:rsidRPr="00DD7626" w:rsidRDefault="009665B8" w:rsidP="005F1CAD">
      <w:pPr>
        <w:pStyle w:val="ListParagraph"/>
        <w:ind w:left="1080"/>
        <w:jc w:val="both"/>
        <w:rPr>
          <w:rFonts w:ascii="Arial" w:eastAsiaTheme="minorHAnsi" w:hAnsi="Arial" w:cs="Arial"/>
          <w:color w:val="auto"/>
          <w:sz w:val="24"/>
          <w:szCs w:val="24"/>
        </w:rPr>
      </w:pPr>
    </w:p>
    <w:p w:rsidR="0067257D" w:rsidRPr="00DD7626" w:rsidRDefault="0067257D" w:rsidP="00B02826">
      <w:pPr>
        <w:autoSpaceDE w:val="0"/>
        <w:autoSpaceDN w:val="0"/>
        <w:adjustRightInd w:val="0"/>
        <w:ind w:firstLine="270"/>
        <w:jc w:val="both"/>
        <w:rPr>
          <w:rFonts w:ascii="Arial" w:eastAsiaTheme="minorHAnsi" w:hAnsi="Arial" w:cs="Arial"/>
          <w:color w:val="auto"/>
          <w:sz w:val="24"/>
          <w:szCs w:val="24"/>
        </w:rPr>
      </w:pPr>
      <w:r w:rsidRPr="00DD7626">
        <w:rPr>
          <w:rFonts w:ascii="Arial" w:eastAsiaTheme="minorHAnsi" w:hAnsi="Arial" w:cs="Arial"/>
          <w:color w:val="auto"/>
          <w:sz w:val="24"/>
          <w:szCs w:val="24"/>
        </w:rPr>
        <w:t>3. Human Resources</w:t>
      </w:r>
    </w:p>
    <w:p w:rsidR="0067257D" w:rsidRPr="00DD7626" w:rsidRDefault="0067257D" w:rsidP="00B02826">
      <w:pPr>
        <w:autoSpaceDE w:val="0"/>
        <w:autoSpaceDN w:val="0"/>
        <w:adjustRightInd w:val="0"/>
        <w:jc w:val="both"/>
        <w:rPr>
          <w:rFonts w:ascii="Arial" w:eastAsiaTheme="minorHAnsi" w:hAnsi="Arial" w:cs="Arial"/>
          <w:color w:val="auto"/>
          <w:sz w:val="24"/>
          <w:szCs w:val="24"/>
        </w:rPr>
      </w:pPr>
    </w:p>
    <w:p w:rsidR="0067257D" w:rsidRPr="00DD7626" w:rsidRDefault="0067257D" w:rsidP="005F1CAD">
      <w:pPr>
        <w:pStyle w:val="ListParagraph"/>
        <w:numPr>
          <w:ilvl w:val="0"/>
          <w:numId w:val="6"/>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The institution</w:t>
      </w:r>
      <w:r w:rsidR="00DD7626">
        <w:rPr>
          <w:rFonts w:ascii="Arial" w:eastAsiaTheme="minorHAnsi" w:hAnsi="Arial" w:cs="Arial"/>
          <w:color w:val="auto"/>
          <w:sz w:val="24"/>
          <w:szCs w:val="24"/>
        </w:rPr>
        <w:t>’</w:t>
      </w:r>
      <w:r w:rsidRPr="00DD7626">
        <w:rPr>
          <w:rFonts w:ascii="Arial" w:eastAsiaTheme="minorHAnsi" w:hAnsi="Arial" w:cs="Arial"/>
          <w:color w:val="auto"/>
          <w:sz w:val="24"/>
          <w:szCs w:val="24"/>
        </w:rPr>
        <w:t>s voluntary turnover rate for classified plus university/college employees will meet the voluntary turnover rate for state classified employees within a variance of 15 percent; and</w:t>
      </w:r>
    </w:p>
    <w:p w:rsidR="009665B8" w:rsidRPr="00DD7626" w:rsidRDefault="009665B8" w:rsidP="005F1CAD">
      <w:pPr>
        <w:autoSpaceDE w:val="0"/>
        <w:autoSpaceDN w:val="0"/>
        <w:adjustRightInd w:val="0"/>
        <w:ind w:left="720"/>
        <w:jc w:val="both"/>
        <w:rPr>
          <w:rFonts w:ascii="Arial" w:eastAsiaTheme="minorHAnsi" w:hAnsi="Arial" w:cs="Arial"/>
          <w:color w:val="auto"/>
          <w:sz w:val="24"/>
          <w:szCs w:val="24"/>
        </w:rPr>
      </w:pPr>
    </w:p>
    <w:p w:rsidR="0067257D" w:rsidRPr="00DD7626" w:rsidRDefault="0067257D" w:rsidP="005F1CAD">
      <w:pPr>
        <w:pStyle w:val="ListParagraph"/>
        <w:numPr>
          <w:ilvl w:val="0"/>
          <w:numId w:val="6"/>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The institution achieves a rate of internal progression within a range of 40 to 60 percent of the total salaried staff hires for the fiscal year.</w:t>
      </w:r>
    </w:p>
    <w:p w:rsidR="009665B8" w:rsidRPr="00DD7626" w:rsidRDefault="009665B8" w:rsidP="00B02826">
      <w:pPr>
        <w:pStyle w:val="ListParagraph"/>
        <w:jc w:val="both"/>
        <w:rPr>
          <w:rFonts w:ascii="Arial" w:eastAsiaTheme="minorHAnsi" w:hAnsi="Arial" w:cs="Arial"/>
          <w:color w:val="auto"/>
          <w:sz w:val="24"/>
          <w:szCs w:val="24"/>
        </w:rPr>
      </w:pPr>
    </w:p>
    <w:p w:rsidR="009665B8" w:rsidRPr="00DD7626" w:rsidRDefault="009665B8" w:rsidP="00B02826">
      <w:pPr>
        <w:autoSpaceDE w:val="0"/>
        <w:autoSpaceDN w:val="0"/>
        <w:adjustRightInd w:val="0"/>
        <w:ind w:firstLine="270"/>
        <w:jc w:val="both"/>
        <w:rPr>
          <w:rFonts w:ascii="Arial" w:eastAsiaTheme="minorHAnsi" w:hAnsi="Arial" w:cs="Arial"/>
          <w:color w:val="auto"/>
          <w:sz w:val="24"/>
          <w:szCs w:val="24"/>
        </w:rPr>
      </w:pPr>
      <w:r w:rsidRPr="00DD7626">
        <w:rPr>
          <w:rFonts w:ascii="Arial" w:eastAsiaTheme="minorHAnsi" w:hAnsi="Arial" w:cs="Arial"/>
          <w:color w:val="auto"/>
          <w:sz w:val="24"/>
          <w:szCs w:val="24"/>
        </w:rPr>
        <w:t>4.  Procurement</w:t>
      </w:r>
      <w:r w:rsidRPr="00DD7626">
        <w:rPr>
          <w:rFonts w:ascii="Arial" w:eastAsiaTheme="minorHAnsi" w:hAnsi="Arial" w:cs="Arial"/>
          <w:color w:val="auto"/>
          <w:sz w:val="24"/>
          <w:szCs w:val="24"/>
        </w:rPr>
        <w:tab/>
      </w:r>
    </w:p>
    <w:p w:rsidR="0067257D" w:rsidRPr="00DD7626" w:rsidRDefault="0067257D" w:rsidP="00B02826">
      <w:pPr>
        <w:autoSpaceDE w:val="0"/>
        <w:autoSpaceDN w:val="0"/>
        <w:adjustRightInd w:val="0"/>
        <w:jc w:val="both"/>
        <w:rPr>
          <w:rFonts w:ascii="Arial" w:eastAsiaTheme="minorHAnsi" w:hAnsi="Arial" w:cs="Arial"/>
          <w:color w:val="auto"/>
          <w:sz w:val="24"/>
          <w:szCs w:val="24"/>
        </w:rPr>
      </w:pPr>
    </w:p>
    <w:p w:rsidR="0067257D" w:rsidRPr="00DD7626" w:rsidRDefault="0067257D" w:rsidP="005F1CAD">
      <w:pPr>
        <w:pStyle w:val="ListParagraph"/>
        <w:numPr>
          <w:ilvl w:val="0"/>
          <w:numId w:val="7"/>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 xml:space="preserve">The institution will substantially comply with its annual approved Small, Women and Minority (SWAM) procurement plan as submitted to the Department of Small Business and Supplier Diversity; however, a variance of 15 percent from its SWAM purchase goal, as stated in the plan, will be acceptable; and </w:t>
      </w:r>
    </w:p>
    <w:p w:rsidR="009665B8" w:rsidRPr="00DD7626" w:rsidRDefault="009665B8" w:rsidP="005F1CAD">
      <w:pPr>
        <w:autoSpaceDE w:val="0"/>
        <w:autoSpaceDN w:val="0"/>
        <w:adjustRightInd w:val="0"/>
        <w:ind w:left="360"/>
        <w:jc w:val="both"/>
        <w:rPr>
          <w:rFonts w:ascii="Arial" w:eastAsiaTheme="minorHAnsi" w:hAnsi="Arial" w:cs="Arial"/>
          <w:color w:val="auto"/>
          <w:sz w:val="24"/>
          <w:szCs w:val="24"/>
        </w:rPr>
      </w:pPr>
    </w:p>
    <w:p w:rsidR="0067257D" w:rsidRPr="00DD7626" w:rsidRDefault="0067257D" w:rsidP="005F1CAD">
      <w:pPr>
        <w:pStyle w:val="ListParagraph"/>
        <w:numPr>
          <w:ilvl w:val="0"/>
          <w:numId w:val="7"/>
        </w:numPr>
        <w:autoSpaceDE w:val="0"/>
        <w:autoSpaceDN w:val="0"/>
        <w:adjustRightInd w:val="0"/>
        <w:ind w:left="990"/>
        <w:jc w:val="both"/>
        <w:rPr>
          <w:rFonts w:ascii="Arial" w:eastAsiaTheme="minorHAnsi" w:hAnsi="Arial" w:cs="Arial"/>
          <w:color w:val="auto"/>
          <w:sz w:val="24"/>
          <w:szCs w:val="24"/>
        </w:rPr>
      </w:pPr>
      <w:r w:rsidRPr="00DD7626">
        <w:rPr>
          <w:rFonts w:ascii="Arial" w:eastAsiaTheme="minorHAnsi" w:hAnsi="Arial" w:cs="Arial"/>
          <w:color w:val="auto"/>
          <w:sz w:val="24"/>
          <w:szCs w:val="24"/>
        </w:rPr>
        <w:t>The institution will make no less than 80 percent of purchase transactions through the</w:t>
      </w:r>
      <w:r w:rsidR="005F1CAD" w:rsidRPr="00DD7626">
        <w:rPr>
          <w:rFonts w:ascii="Arial" w:eastAsiaTheme="minorHAnsi" w:hAnsi="Arial" w:cs="Arial"/>
          <w:color w:val="auto"/>
          <w:sz w:val="24"/>
          <w:szCs w:val="24"/>
        </w:rPr>
        <w:t xml:space="preserve"> </w:t>
      </w:r>
      <w:r w:rsidR="009665B8" w:rsidRPr="00DD7626">
        <w:rPr>
          <w:rFonts w:ascii="Arial" w:eastAsiaTheme="minorHAnsi" w:hAnsi="Arial" w:cs="Arial"/>
          <w:color w:val="auto"/>
          <w:sz w:val="24"/>
          <w:szCs w:val="24"/>
        </w:rPr>
        <w:t>C</w:t>
      </w:r>
      <w:r w:rsidRPr="00DD7626">
        <w:rPr>
          <w:rFonts w:ascii="Arial" w:eastAsiaTheme="minorHAnsi" w:hAnsi="Arial" w:cs="Arial"/>
          <w:color w:val="auto"/>
          <w:sz w:val="24"/>
          <w:szCs w:val="24"/>
        </w:rPr>
        <w:t>ommonwealth</w:t>
      </w:r>
      <w:r w:rsidR="00DD7626">
        <w:rPr>
          <w:rFonts w:ascii="Arial" w:eastAsiaTheme="minorHAnsi" w:hAnsi="Arial" w:cs="Arial"/>
          <w:color w:val="auto"/>
          <w:sz w:val="24"/>
          <w:szCs w:val="24"/>
        </w:rPr>
        <w:t>’</w:t>
      </w:r>
      <w:r w:rsidRPr="00DD7626">
        <w:rPr>
          <w:rFonts w:ascii="Arial" w:eastAsiaTheme="minorHAnsi" w:hAnsi="Arial" w:cs="Arial"/>
          <w:color w:val="auto"/>
          <w:sz w:val="24"/>
          <w:szCs w:val="24"/>
        </w:rPr>
        <w:t>s enterprise-wide internet procurement system (eVA) with no less than 75 percent of dollars to vendor locations in eVA.</w:t>
      </w:r>
    </w:p>
    <w:p w:rsidR="009665B8" w:rsidRPr="00DD7626" w:rsidRDefault="009665B8" w:rsidP="00B02826">
      <w:pPr>
        <w:autoSpaceDE w:val="0"/>
        <w:autoSpaceDN w:val="0"/>
        <w:adjustRightInd w:val="0"/>
        <w:jc w:val="both"/>
        <w:rPr>
          <w:rFonts w:ascii="Arial" w:eastAsiaTheme="minorHAnsi" w:hAnsi="Arial" w:cs="Arial"/>
          <w:color w:val="auto"/>
          <w:sz w:val="24"/>
          <w:szCs w:val="24"/>
        </w:rPr>
      </w:pPr>
    </w:p>
    <w:p w:rsidR="0067257D" w:rsidRPr="00DD7626" w:rsidRDefault="00B02826" w:rsidP="00EB4C61">
      <w:pPr>
        <w:autoSpaceDE w:val="0"/>
        <w:autoSpaceDN w:val="0"/>
        <w:adjustRightInd w:val="0"/>
        <w:ind w:left="-630" w:firstLine="990"/>
        <w:jc w:val="both"/>
        <w:rPr>
          <w:rFonts w:ascii="Arial" w:eastAsiaTheme="minorHAnsi" w:hAnsi="Arial" w:cs="Arial"/>
          <w:color w:val="auto"/>
          <w:sz w:val="24"/>
          <w:szCs w:val="24"/>
        </w:rPr>
      </w:pPr>
      <w:r w:rsidRPr="00DD7626">
        <w:rPr>
          <w:rFonts w:ascii="Arial" w:eastAsiaTheme="minorHAnsi" w:hAnsi="Arial" w:cs="Arial"/>
          <w:color w:val="auto"/>
          <w:sz w:val="24"/>
          <w:szCs w:val="24"/>
        </w:rPr>
        <w:t>5. Capital Outlay</w:t>
      </w:r>
    </w:p>
    <w:p w:rsidR="00B02826" w:rsidRPr="00DD7626" w:rsidRDefault="00B02826" w:rsidP="00B02826">
      <w:pPr>
        <w:autoSpaceDE w:val="0"/>
        <w:autoSpaceDN w:val="0"/>
        <w:adjustRightInd w:val="0"/>
        <w:ind w:left="-630" w:firstLine="630"/>
        <w:jc w:val="both"/>
        <w:rPr>
          <w:rFonts w:ascii="Arial" w:eastAsiaTheme="minorHAnsi" w:hAnsi="Arial" w:cs="Arial"/>
          <w:color w:val="auto"/>
          <w:sz w:val="24"/>
          <w:szCs w:val="24"/>
        </w:rPr>
      </w:pPr>
    </w:p>
    <w:p w:rsidR="0067257D" w:rsidRPr="00DD7626" w:rsidRDefault="0067257D" w:rsidP="00B374ED">
      <w:pPr>
        <w:pStyle w:val="ListParagraph"/>
        <w:numPr>
          <w:ilvl w:val="0"/>
          <w:numId w:val="8"/>
        </w:numPr>
        <w:autoSpaceDE w:val="0"/>
        <w:autoSpaceDN w:val="0"/>
        <w:adjustRightInd w:val="0"/>
        <w:jc w:val="both"/>
        <w:rPr>
          <w:rFonts w:ascii="Arial" w:eastAsiaTheme="minorHAnsi" w:hAnsi="Arial" w:cs="Arial"/>
          <w:color w:val="auto"/>
          <w:sz w:val="24"/>
          <w:szCs w:val="24"/>
        </w:rPr>
      </w:pPr>
      <w:r w:rsidRPr="00DD7626">
        <w:rPr>
          <w:rFonts w:ascii="Arial" w:eastAsiaTheme="minorHAnsi" w:hAnsi="Arial" w:cs="Arial"/>
          <w:color w:val="auto"/>
          <w:sz w:val="24"/>
          <w:szCs w:val="24"/>
        </w:rPr>
        <w:t>The institution will complete capital projects (with an individual cost of over $1,000,000) within the budget originally approved by the institution</w:t>
      </w:r>
      <w:r w:rsidR="00DD7626">
        <w:rPr>
          <w:rFonts w:ascii="Arial" w:eastAsiaTheme="minorHAnsi" w:hAnsi="Arial" w:cs="Arial"/>
          <w:color w:val="auto"/>
          <w:sz w:val="24"/>
          <w:szCs w:val="24"/>
        </w:rPr>
        <w:t>’</w:t>
      </w:r>
      <w:r w:rsidRPr="00DD7626">
        <w:rPr>
          <w:rFonts w:ascii="Arial" w:eastAsiaTheme="minorHAnsi" w:hAnsi="Arial" w:cs="Arial"/>
          <w:color w:val="auto"/>
          <w:sz w:val="24"/>
          <w:szCs w:val="24"/>
        </w:rPr>
        <w:t>s governing board at the preliminary design state for projects initiated under delegated authority, or the budget set out in the Appropriation Act or other Acts of Assembly which provides construction funding for the project at the preliminary design state. If the institution exceeds the budget for any</w:t>
      </w:r>
      <w:r w:rsidR="00B02826" w:rsidRPr="00DD7626">
        <w:rPr>
          <w:rFonts w:ascii="Arial" w:eastAsiaTheme="minorHAnsi" w:hAnsi="Arial" w:cs="Arial"/>
          <w:color w:val="auto"/>
          <w:sz w:val="24"/>
          <w:szCs w:val="24"/>
        </w:rPr>
        <w:t xml:space="preserve"> </w:t>
      </w:r>
      <w:r w:rsidRPr="00DD7626">
        <w:rPr>
          <w:rFonts w:ascii="Arial" w:eastAsiaTheme="minorHAnsi" w:hAnsi="Arial" w:cs="Arial"/>
          <w:color w:val="auto"/>
          <w:sz w:val="24"/>
          <w:szCs w:val="24"/>
        </w:rPr>
        <w:t>such project, the Secretaries of Administration and Finance shall review the circumstances causing the cost overrun and the manner in which the institution responded and determine whether the institution shall be considered in compliance with the measure despite the cost overrun;</w:t>
      </w:r>
    </w:p>
    <w:p w:rsidR="00B02826" w:rsidRPr="00DD7626" w:rsidRDefault="00B02826" w:rsidP="00B02826">
      <w:pPr>
        <w:autoSpaceDE w:val="0"/>
        <w:autoSpaceDN w:val="0"/>
        <w:adjustRightInd w:val="0"/>
        <w:jc w:val="both"/>
        <w:rPr>
          <w:rFonts w:ascii="Arial" w:eastAsiaTheme="minorHAnsi" w:hAnsi="Arial" w:cs="Arial"/>
          <w:color w:val="auto"/>
          <w:sz w:val="24"/>
          <w:szCs w:val="24"/>
        </w:rPr>
      </w:pPr>
    </w:p>
    <w:p w:rsidR="0067257D" w:rsidRPr="00DD7626" w:rsidRDefault="00B02826" w:rsidP="005F1CAD">
      <w:pPr>
        <w:autoSpaceDE w:val="0"/>
        <w:autoSpaceDN w:val="0"/>
        <w:adjustRightInd w:val="0"/>
        <w:ind w:left="1080" w:hanging="360"/>
        <w:jc w:val="both"/>
        <w:rPr>
          <w:rFonts w:ascii="Arial" w:eastAsiaTheme="minorHAnsi" w:hAnsi="Arial" w:cs="Arial"/>
          <w:color w:val="auto"/>
          <w:sz w:val="24"/>
          <w:szCs w:val="24"/>
        </w:rPr>
      </w:pPr>
      <w:r w:rsidRPr="00DD7626">
        <w:rPr>
          <w:rFonts w:ascii="Arial" w:eastAsiaTheme="minorHAnsi" w:hAnsi="Arial" w:cs="Arial"/>
          <w:color w:val="auto"/>
          <w:sz w:val="24"/>
          <w:szCs w:val="24"/>
        </w:rPr>
        <w:t>b)</w:t>
      </w:r>
      <w:r w:rsidRPr="00DD7626">
        <w:rPr>
          <w:rFonts w:ascii="Arial" w:eastAsiaTheme="minorHAnsi" w:hAnsi="Arial" w:cs="Arial"/>
          <w:color w:val="auto"/>
          <w:sz w:val="24"/>
          <w:szCs w:val="24"/>
        </w:rPr>
        <w:tab/>
      </w:r>
      <w:r w:rsidR="0067257D" w:rsidRPr="00DD7626">
        <w:rPr>
          <w:rFonts w:ascii="Arial" w:eastAsiaTheme="minorHAnsi" w:hAnsi="Arial" w:cs="Arial"/>
          <w:color w:val="auto"/>
          <w:sz w:val="24"/>
          <w:szCs w:val="24"/>
        </w:rPr>
        <w:t>The institution shall complete capital projects with the dollar amount of owner requested change orders not more than 2 percent of the guaranteed maximum price (GMP) or construction price; and</w:t>
      </w:r>
    </w:p>
    <w:p w:rsidR="000E3893" w:rsidRPr="00DD7626" w:rsidRDefault="000E3893" w:rsidP="005F1CAD">
      <w:pPr>
        <w:autoSpaceDE w:val="0"/>
        <w:autoSpaceDN w:val="0"/>
        <w:adjustRightInd w:val="0"/>
        <w:ind w:left="1080" w:hanging="360"/>
        <w:jc w:val="both"/>
        <w:rPr>
          <w:rFonts w:ascii="Arial" w:eastAsiaTheme="minorHAnsi" w:hAnsi="Arial" w:cs="Arial"/>
          <w:color w:val="auto"/>
          <w:sz w:val="24"/>
          <w:szCs w:val="24"/>
        </w:rPr>
      </w:pPr>
    </w:p>
    <w:p w:rsidR="000E3893" w:rsidRPr="00DD7626" w:rsidRDefault="000E3893" w:rsidP="005F1CAD">
      <w:pPr>
        <w:autoSpaceDE w:val="0"/>
        <w:autoSpaceDN w:val="0"/>
        <w:adjustRightInd w:val="0"/>
        <w:ind w:left="1080" w:hanging="360"/>
        <w:jc w:val="both"/>
        <w:rPr>
          <w:rFonts w:ascii="Arial" w:eastAsiaTheme="minorHAnsi" w:hAnsi="Arial" w:cs="Arial"/>
          <w:color w:val="auto"/>
          <w:sz w:val="24"/>
          <w:szCs w:val="24"/>
        </w:rPr>
      </w:pPr>
      <w:r w:rsidRPr="00DD7626">
        <w:rPr>
          <w:rFonts w:ascii="Arial" w:eastAsiaTheme="minorHAnsi" w:hAnsi="Arial" w:cs="Arial"/>
          <w:color w:val="auto"/>
          <w:sz w:val="24"/>
          <w:szCs w:val="24"/>
        </w:rPr>
        <w:t xml:space="preserve">c) The institution shall pay competitive rates for leased office space – the average cost per square foot for office space leased by the institution is within 5 percent of the average commercial business district rate for similar quality space within reasonable proximity to the institution’s campus.  </w:t>
      </w:r>
    </w:p>
    <w:p w:rsidR="000E3893" w:rsidRPr="00DD7626" w:rsidRDefault="000E3893" w:rsidP="005F1CAD">
      <w:pPr>
        <w:autoSpaceDE w:val="0"/>
        <w:autoSpaceDN w:val="0"/>
        <w:adjustRightInd w:val="0"/>
        <w:ind w:left="1080" w:hanging="360"/>
        <w:jc w:val="both"/>
        <w:rPr>
          <w:rFonts w:ascii="Arial" w:eastAsiaTheme="minorHAnsi" w:hAnsi="Arial" w:cs="Arial"/>
          <w:color w:val="auto"/>
          <w:sz w:val="24"/>
          <w:szCs w:val="24"/>
        </w:rPr>
      </w:pPr>
    </w:p>
    <w:p w:rsidR="0067257D" w:rsidRPr="00DD7626" w:rsidRDefault="005F1CAD" w:rsidP="005F1CAD">
      <w:pPr>
        <w:autoSpaceDE w:val="0"/>
        <w:autoSpaceDN w:val="0"/>
        <w:adjustRightInd w:val="0"/>
        <w:jc w:val="both"/>
        <w:rPr>
          <w:rFonts w:ascii="Arial" w:eastAsiaTheme="minorHAnsi" w:hAnsi="Arial" w:cs="Arial"/>
          <w:color w:val="auto"/>
          <w:sz w:val="24"/>
          <w:szCs w:val="24"/>
        </w:rPr>
      </w:pPr>
      <w:r w:rsidRPr="00DD7626">
        <w:rPr>
          <w:rFonts w:ascii="Arial" w:eastAsiaTheme="minorHAnsi" w:hAnsi="Arial" w:cs="Arial"/>
          <w:color w:val="auto"/>
          <w:sz w:val="24"/>
          <w:szCs w:val="24"/>
        </w:rPr>
        <w:t xml:space="preserve">      </w:t>
      </w:r>
      <w:r w:rsidR="0067257D" w:rsidRPr="00DD7626">
        <w:rPr>
          <w:rFonts w:ascii="Arial" w:eastAsiaTheme="minorHAnsi" w:hAnsi="Arial" w:cs="Arial"/>
          <w:color w:val="auto"/>
          <w:sz w:val="24"/>
          <w:szCs w:val="24"/>
        </w:rPr>
        <w:t>6. Information Technology</w:t>
      </w:r>
    </w:p>
    <w:p w:rsidR="007115D7" w:rsidRPr="00DD7626" w:rsidRDefault="007115D7" w:rsidP="005F1CAD">
      <w:pPr>
        <w:autoSpaceDE w:val="0"/>
        <w:autoSpaceDN w:val="0"/>
        <w:adjustRightInd w:val="0"/>
        <w:jc w:val="both"/>
        <w:rPr>
          <w:rFonts w:ascii="Arial" w:eastAsiaTheme="minorHAnsi" w:hAnsi="Arial" w:cs="Arial"/>
          <w:color w:val="auto"/>
          <w:sz w:val="24"/>
          <w:szCs w:val="24"/>
        </w:rPr>
      </w:pPr>
    </w:p>
    <w:p w:rsidR="007115D7" w:rsidRPr="00DD7626" w:rsidRDefault="007115D7" w:rsidP="007115D7">
      <w:pPr>
        <w:autoSpaceDE w:val="0"/>
        <w:autoSpaceDN w:val="0"/>
        <w:adjustRightInd w:val="0"/>
        <w:ind w:left="1080" w:hanging="360"/>
        <w:jc w:val="both"/>
        <w:rPr>
          <w:rFonts w:ascii="Arial" w:eastAsiaTheme="minorHAnsi" w:hAnsi="Arial" w:cs="Arial"/>
          <w:color w:val="auto"/>
          <w:sz w:val="24"/>
          <w:szCs w:val="24"/>
        </w:rPr>
      </w:pPr>
      <w:r w:rsidRPr="00DD7626">
        <w:rPr>
          <w:rFonts w:ascii="Arial" w:eastAsiaTheme="minorHAnsi" w:hAnsi="Arial" w:cs="Arial"/>
          <w:color w:val="auto"/>
          <w:sz w:val="24"/>
          <w:szCs w:val="24"/>
        </w:rPr>
        <w:t>a) The institution will complete major information technology projects (with an individual cost of over $1,000,000) on time and on budget against their managed project baseline</w:t>
      </w:r>
      <w:r w:rsidR="00870F17" w:rsidRPr="00DD7626">
        <w:rPr>
          <w:rFonts w:ascii="Arial" w:eastAsiaTheme="minorHAnsi" w:hAnsi="Arial" w:cs="Arial"/>
          <w:color w:val="auto"/>
          <w:sz w:val="24"/>
          <w:szCs w:val="24"/>
        </w:rPr>
        <w:t>.</w:t>
      </w:r>
      <w:r w:rsidRPr="00DD7626">
        <w:rPr>
          <w:rFonts w:ascii="Arial" w:eastAsiaTheme="minorHAnsi" w:hAnsi="Arial" w:cs="Arial"/>
          <w:color w:val="auto"/>
          <w:sz w:val="24"/>
          <w:szCs w:val="24"/>
        </w:rPr>
        <w:t xml:space="preserve"> If the institution exceeds the budget and/or time schedule for any such project, the Secretary of Technology shall review the circumstances causing the cost overrun and/or delay and the manner in which the institution responded and determine whether the institution appropriately adhered to Project Management Institute’s best management practices and, therefore, shall be considered in compliance with the measure despite the cost overrun and/or delay</w:t>
      </w:r>
      <w:r w:rsidR="00870F17" w:rsidRPr="00DD7626">
        <w:rPr>
          <w:rFonts w:ascii="Arial" w:eastAsiaTheme="minorHAnsi" w:hAnsi="Arial" w:cs="Arial"/>
          <w:color w:val="auto"/>
          <w:sz w:val="24"/>
          <w:szCs w:val="24"/>
        </w:rPr>
        <w:t>.</w:t>
      </w:r>
    </w:p>
    <w:p w:rsidR="007115D7" w:rsidRPr="00DD7626" w:rsidRDefault="007115D7" w:rsidP="007115D7">
      <w:pPr>
        <w:autoSpaceDE w:val="0"/>
        <w:autoSpaceDN w:val="0"/>
        <w:adjustRightInd w:val="0"/>
        <w:ind w:left="1080" w:hanging="360"/>
        <w:jc w:val="both"/>
        <w:rPr>
          <w:rFonts w:ascii="Arial" w:eastAsiaTheme="minorHAnsi" w:hAnsi="Arial" w:cs="Arial"/>
          <w:color w:val="auto"/>
          <w:sz w:val="24"/>
          <w:szCs w:val="24"/>
        </w:rPr>
      </w:pPr>
    </w:p>
    <w:p w:rsidR="005F1CAD" w:rsidRPr="00DD7626" w:rsidRDefault="007115D7" w:rsidP="007115D7">
      <w:pPr>
        <w:autoSpaceDE w:val="0"/>
        <w:autoSpaceDN w:val="0"/>
        <w:adjustRightInd w:val="0"/>
        <w:ind w:left="1080" w:hanging="360"/>
        <w:jc w:val="both"/>
        <w:rPr>
          <w:rFonts w:ascii="Arial" w:eastAsiaTheme="minorHAnsi" w:hAnsi="Arial" w:cs="Arial"/>
          <w:color w:val="auto"/>
          <w:sz w:val="24"/>
          <w:szCs w:val="24"/>
        </w:rPr>
      </w:pPr>
      <w:r w:rsidRPr="00DD7626">
        <w:rPr>
          <w:rFonts w:ascii="Arial" w:eastAsiaTheme="minorHAnsi" w:hAnsi="Arial" w:cs="Arial"/>
          <w:color w:val="auto"/>
          <w:sz w:val="24"/>
          <w:szCs w:val="24"/>
        </w:rPr>
        <w:t xml:space="preserve">b) </w:t>
      </w:r>
      <w:r w:rsidR="00DD7626">
        <w:rPr>
          <w:rFonts w:ascii="Arial" w:eastAsiaTheme="minorHAnsi" w:hAnsi="Arial" w:cs="Arial"/>
          <w:color w:val="auto"/>
          <w:sz w:val="24"/>
          <w:szCs w:val="24"/>
        </w:rPr>
        <w:t>T</w:t>
      </w:r>
      <w:r w:rsidRPr="00DD7626">
        <w:rPr>
          <w:rFonts w:ascii="Arial" w:eastAsiaTheme="minorHAnsi" w:hAnsi="Arial" w:cs="Arial"/>
          <w:color w:val="auto"/>
          <w:sz w:val="24"/>
          <w:szCs w:val="24"/>
        </w:rPr>
        <w:t xml:space="preserve">he institution will maintain compliance with the institutional security standards as evaluated in internal and external audits. The institution will have no </w:t>
      </w:r>
      <w:r w:rsidR="003F030F" w:rsidRPr="00DD7626">
        <w:rPr>
          <w:rFonts w:ascii="Arial" w:eastAsiaTheme="minorHAnsi" w:hAnsi="Arial" w:cs="Arial"/>
          <w:color w:val="auto"/>
          <w:sz w:val="24"/>
          <w:szCs w:val="24"/>
        </w:rPr>
        <w:t>si</w:t>
      </w:r>
      <w:r w:rsidRPr="00DD7626">
        <w:rPr>
          <w:rFonts w:ascii="Arial" w:eastAsiaTheme="minorHAnsi" w:hAnsi="Arial" w:cs="Arial"/>
          <w:color w:val="auto"/>
          <w:sz w:val="24"/>
          <w:szCs w:val="24"/>
        </w:rPr>
        <w:t>gnificant audit deficienc</w:t>
      </w:r>
      <w:r w:rsidR="003F030F" w:rsidRPr="00DD7626">
        <w:rPr>
          <w:rFonts w:ascii="Arial" w:eastAsiaTheme="minorHAnsi" w:hAnsi="Arial" w:cs="Arial"/>
          <w:color w:val="auto"/>
          <w:sz w:val="24"/>
          <w:szCs w:val="24"/>
        </w:rPr>
        <w:t>i</w:t>
      </w:r>
      <w:r w:rsidRPr="00DD7626">
        <w:rPr>
          <w:rFonts w:ascii="Arial" w:eastAsiaTheme="minorHAnsi" w:hAnsi="Arial" w:cs="Arial"/>
          <w:color w:val="auto"/>
          <w:sz w:val="24"/>
          <w:szCs w:val="24"/>
        </w:rPr>
        <w:t>es</w:t>
      </w:r>
      <w:r w:rsidR="003F030F" w:rsidRPr="00DD7626">
        <w:rPr>
          <w:rFonts w:ascii="Arial" w:eastAsiaTheme="minorHAnsi" w:hAnsi="Arial" w:cs="Arial"/>
          <w:color w:val="auto"/>
          <w:sz w:val="24"/>
          <w:szCs w:val="24"/>
        </w:rPr>
        <w:t xml:space="preserve"> unresolved beyond one year.</w:t>
      </w:r>
    </w:p>
    <w:p w:rsidR="007115D7" w:rsidRPr="00DD7626" w:rsidRDefault="007115D7" w:rsidP="00433981">
      <w:pPr>
        <w:autoSpaceDE w:val="0"/>
        <w:autoSpaceDN w:val="0"/>
        <w:adjustRightInd w:val="0"/>
        <w:ind w:left="720"/>
        <w:jc w:val="both"/>
        <w:rPr>
          <w:rFonts w:ascii="Arial" w:eastAsiaTheme="minorHAnsi" w:hAnsi="Arial" w:cs="Arial"/>
          <w:color w:val="auto"/>
          <w:sz w:val="24"/>
          <w:szCs w:val="24"/>
        </w:rPr>
      </w:pPr>
    </w:p>
    <w:p w:rsidR="004D47D3" w:rsidRPr="00DD7626" w:rsidRDefault="004D47D3">
      <w:pPr>
        <w:rPr>
          <w:rFonts w:ascii="Arial" w:eastAsiaTheme="minorHAnsi" w:hAnsi="Arial" w:cs="Arial"/>
          <w:color w:val="auto"/>
          <w:sz w:val="24"/>
          <w:szCs w:val="24"/>
        </w:rPr>
      </w:pPr>
      <w:r w:rsidRPr="00DD7626">
        <w:rPr>
          <w:rFonts w:ascii="Arial" w:eastAsiaTheme="minorHAnsi" w:hAnsi="Arial" w:cs="Arial"/>
          <w:color w:val="auto"/>
          <w:sz w:val="24"/>
          <w:szCs w:val="24"/>
        </w:rPr>
        <w:br w:type="page"/>
      </w:r>
    </w:p>
    <w:p w:rsidR="00CB031B" w:rsidRPr="00A70BD2" w:rsidRDefault="00870F17" w:rsidP="00DB46BB">
      <w:pPr>
        <w:tabs>
          <w:tab w:val="left" w:pos="360"/>
        </w:tabs>
        <w:jc w:val="both"/>
        <w:rPr>
          <w:rFonts w:ascii="Arial" w:hAnsi="Arial" w:cs="Arial"/>
          <w:bCs/>
          <w:color w:val="auto"/>
          <w:sz w:val="28"/>
          <w:szCs w:val="28"/>
        </w:rPr>
      </w:pPr>
      <w:r w:rsidRPr="00A70BD2">
        <w:rPr>
          <w:rFonts w:ascii="Arial" w:hAnsi="Arial" w:cs="Arial"/>
          <w:bCs/>
          <w:color w:val="auto"/>
          <w:sz w:val="28"/>
          <w:szCs w:val="28"/>
        </w:rPr>
        <w:t>APPENDIX B</w:t>
      </w:r>
    </w:p>
    <w:p w:rsidR="007C088B" w:rsidRDefault="007C088B" w:rsidP="00DB46BB">
      <w:pPr>
        <w:tabs>
          <w:tab w:val="left" w:pos="360"/>
        </w:tabs>
        <w:jc w:val="both"/>
        <w:rPr>
          <w:rFonts w:ascii="Arial" w:hAnsi="Arial" w:cs="Arial"/>
          <w:bCs/>
          <w:color w:val="auto"/>
          <w:sz w:val="24"/>
          <w:szCs w:val="24"/>
        </w:rPr>
      </w:pPr>
    </w:p>
    <w:p w:rsidR="007C088B" w:rsidRDefault="0043181F" w:rsidP="00DB46BB">
      <w:pPr>
        <w:spacing w:after="24" w:line="288" w:lineRule="atLeast"/>
        <w:jc w:val="both"/>
        <w:textAlignment w:val="baseline"/>
        <w:outlineLvl w:val="1"/>
        <w:rPr>
          <w:rFonts w:ascii="Arial" w:hAnsi="Arial" w:cs="Arial"/>
          <w:color w:val="auto"/>
          <w:sz w:val="24"/>
          <w:szCs w:val="24"/>
        </w:rPr>
      </w:pPr>
      <w:r w:rsidRPr="0043181F">
        <w:rPr>
          <w:rFonts w:ascii="Arial" w:hAnsi="Arial" w:cs="Arial"/>
          <w:color w:val="auto"/>
          <w:sz w:val="24"/>
          <w:szCs w:val="24"/>
        </w:rPr>
        <w:t xml:space="preserve">§ </w:t>
      </w:r>
      <w:hyperlink r:id="rId20" w:history="1">
        <w:r w:rsidRPr="0043181F">
          <w:rPr>
            <w:rStyle w:val="Hyperlink"/>
            <w:rFonts w:ascii="Arial" w:hAnsi="Arial" w:cs="Arial"/>
            <w:sz w:val="24"/>
            <w:szCs w:val="24"/>
          </w:rPr>
          <w:t>23.1-1002</w:t>
        </w:r>
      </w:hyperlink>
      <w:r w:rsidR="009A22E6" w:rsidRPr="009A22E6">
        <w:rPr>
          <w:rFonts w:ascii="Arial" w:hAnsi="Arial" w:cs="Arial"/>
          <w:color w:val="auto"/>
          <w:sz w:val="24"/>
          <w:szCs w:val="24"/>
        </w:rPr>
        <w:t xml:space="preserve"> </w:t>
      </w:r>
      <w:r w:rsidR="0001289D">
        <w:rPr>
          <w:rFonts w:ascii="Arial" w:hAnsi="Arial" w:cs="Arial"/>
          <w:color w:val="auto"/>
          <w:sz w:val="24"/>
          <w:szCs w:val="24"/>
        </w:rPr>
        <w:t>(</w:t>
      </w:r>
      <w:r w:rsidR="009A22E6">
        <w:rPr>
          <w:rFonts w:ascii="Arial" w:hAnsi="Arial" w:cs="Arial"/>
          <w:color w:val="auto"/>
          <w:sz w:val="24"/>
          <w:szCs w:val="24"/>
        </w:rPr>
        <w:t>Subsection C</w:t>
      </w:r>
      <w:r w:rsidR="0001289D">
        <w:rPr>
          <w:rFonts w:ascii="Arial" w:hAnsi="Arial" w:cs="Arial"/>
          <w:color w:val="auto"/>
          <w:sz w:val="24"/>
          <w:szCs w:val="24"/>
        </w:rPr>
        <w:t>)</w:t>
      </w:r>
      <w:r w:rsidR="009A22E6">
        <w:rPr>
          <w:rFonts w:ascii="Arial" w:hAnsi="Arial" w:cs="Arial"/>
          <w:color w:val="auto"/>
          <w:sz w:val="24"/>
          <w:szCs w:val="24"/>
        </w:rPr>
        <w:t xml:space="preserve"> </w:t>
      </w:r>
      <w:r w:rsidR="0001289D">
        <w:rPr>
          <w:rFonts w:ascii="Arial" w:hAnsi="Arial" w:cs="Arial"/>
          <w:color w:val="auto"/>
          <w:sz w:val="24"/>
          <w:szCs w:val="24"/>
        </w:rPr>
        <w:t>ELIGIBILITY FOR</w:t>
      </w:r>
      <w:r w:rsidR="007C088B" w:rsidRPr="007C088B">
        <w:rPr>
          <w:rFonts w:ascii="Arial" w:hAnsi="Arial" w:cs="Arial"/>
          <w:color w:val="auto"/>
          <w:sz w:val="24"/>
          <w:szCs w:val="24"/>
        </w:rPr>
        <w:t xml:space="preserve"> </w:t>
      </w:r>
      <w:r w:rsidR="0001289D">
        <w:rPr>
          <w:rFonts w:ascii="Arial" w:hAnsi="Arial" w:cs="Arial"/>
          <w:color w:val="auto"/>
          <w:sz w:val="24"/>
          <w:szCs w:val="24"/>
        </w:rPr>
        <w:t>RESTRUCTURED FINANCIAL AND</w:t>
      </w:r>
      <w:r w:rsidR="007C088B" w:rsidRPr="007C088B">
        <w:rPr>
          <w:rFonts w:ascii="Arial" w:hAnsi="Arial" w:cs="Arial"/>
          <w:color w:val="auto"/>
          <w:sz w:val="24"/>
          <w:szCs w:val="24"/>
        </w:rPr>
        <w:t xml:space="preserve"> </w:t>
      </w:r>
      <w:r w:rsidR="0001289D">
        <w:rPr>
          <w:rFonts w:ascii="Arial" w:hAnsi="Arial" w:cs="Arial"/>
          <w:color w:val="auto"/>
          <w:sz w:val="24"/>
          <w:szCs w:val="24"/>
        </w:rPr>
        <w:t>ADMINISTRATIVE OPERATIONAL</w:t>
      </w:r>
      <w:r w:rsidR="007C088B" w:rsidRPr="007C088B">
        <w:rPr>
          <w:rFonts w:ascii="Arial" w:hAnsi="Arial" w:cs="Arial"/>
          <w:color w:val="auto"/>
          <w:sz w:val="24"/>
          <w:szCs w:val="24"/>
        </w:rPr>
        <w:t xml:space="preserve"> </w:t>
      </w:r>
      <w:r w:rsidR="0001289D">
        <w:rPr>
          <w:rFonts w:ascii="Arial" w:hAnsi="Arial" w:cs="Arial"/>
          <w:color w:val="auto"/>
          <w:sz w:val="24"/>
          <w:szCs w:val="24"/>
        </w:rPr>
        <w:t>AUTHORITY AND FINANCIAL BENEFITS</w:t>
      </w:r>
    </w:p>
    <w:p w:rsidR="00A70BD2" w:rsidRDefault="00A70BD2" w:rsidP="00DB46BB">
      <w:pPr>
        <w:spacing w:after="24" w:line="288" w:lineRule="atLeast"/>
        <w:ind w:firstLine="720"/>
        <w:jc w:val="both"/>
        <w:textAlignment w:val="baseline"/>
        <w:outlineLvl w:val="1"/>
        <w:rPr>
          <w:rFonts w:ascii="Arial" w:hAnsi="Arial" w:cs="Arial"/>
          <w:color w:val="auto"/>
          <w:sz w:val="24"/>
          <w:szCs w:val="24"/>
        </w:rPr>
      </w:pPr>
    </w:p>
    <w:p w:rsidR="00A70BD2" w:rsidRDefault="00A70BD2" w:rsidP="00DB46BB">
      <w:pPr>
        <w:spacing w:after="24" w:line="288" w:lineRule="atLeast"/>
        <w:jc w:val="both"/>
        <w:textAlignment w:val="baseline"/>
        <w:outlineLvl w:val="1"/>
        <w:rPr>
          <w:rFonts w:ascii="Arial" w:hAnsi="Arial" w:cs="Arial"/>
          <w:color w:val="auto"/>
          <w:sz w:val="24"/>
          <w:szCs w:val="24"/>
        </w:rPr>
      </w:pPr>
      <w:r w:rsidRPr="00A70BD2">
        <w:rPr>
          <w:rFonts w:ascii="Arial" w:hAnsi="Arial" w:cs="Arial"/>
          <w:color w:val="auto"/>
          <w:sz w:val="24"/>
          <w:szCs w:val="24"/>
        </w:rPr>
        <w:t>C. Each public institution of higher education that (i) has been certified during</w:t>
      </w:r>
      <w:r w:rsidR="0021626B">
        <w:rPr>
          <w:rFonts w:ascii="Arial" w:hAnsi="Arial" w:cs="Arial"/>
          <w:color w:val="auto"/>
          <w:sz w:val="24"/>
          <w:szCs w:val="24"/>
        </w:rPr>
        <w:t xml:space="preserve"> the </w:t>
      </w:r>
      <w:r w:rsidRPr="00A70BD2">
        <w:rPr>
          <w:rFonts w:ascii="Arial" w:hAnsi="Arial" w:cs="Arial"/>
          <w:color w:val="auto"/>
          <w:sz w:val="24"/>
          <w:szCs w:val="24"/>
        </w:rPr>
        <w:t xml:space="preserve">fiscal year by the Council pursuant to </w:t>
      </w:r>
      <w:r w:rsidR="0001289D" w:rsidRPr="0001289D">
        <w:rPr>
          <w:rFonts w:ascii="Arial" w:hAnsi="Arial" w:cs="Arial"/>
          <w:color w:val="auto"/>
          <w:sz w:val="24"/>
          <w:szCs w:val="24"/>
        </w:rPr>
        <w:t xml:space="preserve">§ </w:t>
      </w:r>
      <w:hyperlink r:id="rId21" w:history="1">
        <w:r w:rsidR="0001289D" w:rsidRPr="0001289D">
          <w:rPr>
            <w:rStyle w:val="Hyperlink"/>
            <w:rFonts w:ascii="Arial" w:hAnsi="Arial" w:cs="Arial"/>
            <w:sz w:val="24"/>
            <w:szCs w:val="24"/>
          </w:rPr>
          <w:t>23.1-206</w:t>
        </w:r>
      </w:hyperlink>
      <w:r w:rsidRPr="00A70BD2">
        <w:rPr>
          <w:rFonts w:ascii="Arial" w:hAnsi="Arial" w:cs="Arial"/>
          <w:color w:val="auto"/>
          <w:sz w:val="24"/>
          <w:szCs w:val="24"/>
        </w:rPr>
        <w:t> as having met the</w:t>
      </w:r>
      <w:r w:rsidR="0021626B">
        <w:rPr>
          <w:rFonts w:ascii="Arial" w:hAnsi="Arial" w:cs="Arial"/>
          <w:color w:val="auto"/>
          <w:sz w:val="24"/>
          <w:szCs w:val="24"/>
        </w:rPr>
        <w:t xml:space="preserve"> institutional performance benchmarks for public institutions of higher education and (ii) meets the state goals set in subsection A shall receive the following financial benefits:</w:t>
      </w:r>
    </w:p>
    <w:p w:rsidR="00A70BD2" w:rsidRPr="00DD7626" w:rsidRDefault="00A70BD2" w:rsidP="00DB46BB">
      <w:pPr>
        <w:spacing w:before="100" w:beforeAutospacing="1" w:after="100" w:afterAutospacing="1"/>
        <w:jc w:val="both"/>
        <w:rPr>
          <w:rFonts w:ascii="Arial" w:hAnsi="Arial" w:cs="Arial"/>
          <w:color w:val="auto"/>
          <w:sz w:val="24"/>
          <w:szCs w:val="24"/>
        </w:rPr>
      </w:pPr>
      <w:r w:rsidRPr="00DD7626">
        <w:rPr>
          <w:rFonts w:ascii="Arial" w:hAnsi="Arial" w:cs="Arial"/>
          <w:color w:val="auto"/>
          <w:sz w:val="24"/>
          <w:szCs w:val="24"/>
        </w:rPr>
        <w:t xml:space="preserve">1. Interest on the tuition and fees and other nongeneral fund Educational and General Revenues deposited into the State Treasury by the public institution of higher education, as provided in the appropriation act. Such interest shall be paid from the general fund and shall be an appropriate and equitable amount as determined and certified in writing by the Secretary of Finance to the Comptroller by the end of each fiscal year, or as soon thereafter as practicable; </w:t>
      </w:r>
    </w:p>
    <w:p w:rsidR="00A70BD2" w:rsidRPr="00DD7626" w:rsidRDefault="00A70BD2" w:rsidP="00DB46BB">
      <w:pPr>
        <w:spacing w:before="100" w:beforeAutospacing="1" w:after="100" w:afterAutospacing="1"/>
        <w:jc w:val="both"/>
        <w:rPr>
          <w:rFonts w:ascii="Arial" w:hAnsi="Arial" w:cs="Arial"/>
          <w:color w:val="auto"/>
          <w:sz w:val="24"/>
          <w:szCs w:val="24"/>
        </w:rPr>
      </w:pPr>
      <w:r w:rsidRPr="00DD7626">
        <w:rPr>
          <w:rFonts w:ascii="Arial" w:hAnsi="Arial" w:cs="Arial"/>
          <w:color w:val="auto"/>
          <w:sz w:val="24"/>
          <w:szCs w:val="24"/>
        </w:rPr>
        <w:t xml:space="preserve">2. Any unexpended appropriations of the public institution of higher education at the close of the fiscal year, which shall be reappropriated and allotted for expenditure by the institution in the immediately following fiscal year; and </w:t>
      </w:r>
    </w:p>
    <w:p w:rsidR="00A70BD2" w:rsidRPr="00DD7626" w:rsidRDefault="00A70BD2" w:rsidP="00DB46BB">
      <w:pPr>
        <w:spacing w:before="100" w:beforeAutospacing="1" w:after="100" w:afterAutospacing="1"/>
        <w:jc w:val="both"/>
        <w:rPr>
          <w:rFonts w:ascii="Arial" w:hAnsi="Arial" w:cs="Arial"/>
          <w:color w:val="auto"/>
          <w:sz w:val="24"/>
          <w:szCs w:val="24"/>
        </w:rPr>
      </w:pPr>
      <w:r w:rsidRPr="00DD7626">
        <w:rPr>
          <w:rFonts w:ascii="Arial" w:hAnsi="Arial" w:cs="Arial"/>
          <w:color w:val="auto"/>
          <w:sz w:val="24"/>
          <w:szCs w:val="24"/>
        </w:rPr>
        <w:t>3. A pro rata amount of the rebate due to the Commonwealth on credit card purchases of $5,000 or less made during the fiscal year. The amount to be paid to each institution shall equal a pro rata share based upon its total transactions of $5,000 or less using the credit card that is approved for use by all state agencies as compared to all transactions of $5,000 or less using such card by all state agencies. The Comptroller shall determine the public institution</w:t>
      </w:r>
      <w:r>
        <w:rPr>
          <w:rFonts w:ascii="Arial" w:hAnsi="Arial" w:cs="Arial"/>
          <w:color w:val="auto"/>
          <w:sz w:val="24"/>
          <w:szCs w:val="24"/>
        </w:rPr>
        <w:t>’</w:t>
      </w:r>
      <w:r w:rsidRPr="00DD7626">
        <w:rPr>
          <w:rFonts w:ascii="Arial" w:hAnsi="Arial" w:cs="Arial"/>
          <w:color w:val="auto"/>
          <w:sz w:val="24"/>
          <w:szCs w:val="24"/>
        </w:rPr>
        <w:t xml:space="preserve">s pro rata share and, as provided in the appropriation act, shall pay the institution by August 15, or as soon thereafter as practicable, of the fiscal year immediately following the year of certification. </w:t>
      </w:r>
    </w:p>
    <w:p w:rsidR="00A70BD2" w:rsidRPr="00DD7626" w:rsidRDefault="00A70BD2" w:rsidP="00DB46BB">
      <w:pPr>
        <w:spacing w:before="100" w:beforeAutospacing="1" w:after="100" w:afterAutospacing="1"/>
        <w:jc w:val="both"/>
        <w:rPr>
          <w:rFonts w:ascii="Arial" w:hAnsi="Arial" w:cs="Arial"/>
          <w:color w:val="auto"/>
          <w:sz w:val="24"/>
          <w:szCs w:val="24"/>
        </w:rPr>
      </w:pPr>
      <w:r w:rsidRPr="00DD7626">
        <w:rPr>
          <w:rFonts w:ascii="Arial" w:hAnsi="Arial" w:cs="Arial"/>
          <w:color w:val="auto"/>
          <w:sz w:val="24"/>
          <w:szCs w:val="24"/>
        </w:rPr>
        <w:t>The payment to an institution of its pro rata share under this subdivision shall also be applicable to other rebate or refund programs in effect that are similar to that of the credit card rebate program described in this subdivision.</w:t>
      </w:r>
      <w:r w:rsidR="00BB572C">
        <w:rPr>
          <w:rFonts w:ascii="Arial" w:hAnsi="Arial" w:cs="Arial"/>
          <w:color w:val="auto"/>
          <w:sz w:val="24"/>
          <w:szCs w:val="24"/>
        </w:rPr>
        <w:t xml:space="preserve"> </w:t>
      </w:r>
      <w:r w:rsidRPr="00DD7626">
        <w:rPr>
          <w:rFonts w:ascii="Arial" w:hAnsi="Arial" w:cs="Arial"/>
          <w:color w:val="auto"/>
          <w:sz w:val="24"/>
          <w:szCs w:val="24"/>
        </w:rPr>
        <w:t xml:space="preserve">The Secretary of Finance shall identify such other rebate or refund programs and shall determine the pro rata share to be paid to the public institution of higher education. </w:t>
      </w:r>
    </w:p>
    <w:p w:rsidR="00DB46BB" w:rsidRDefault="00A70BD2" w:rsidP="00DB46BB">
      <w:pPr>
        <w:spacing w:before="100" w:beforeAutospacing="1" w:after="100" w:afterAutospacing="1"/>
        <w:jc w:val="both"/>
        <w:rPr>
          <w:rFonts w:ascii="Arial" w:hAnsi="Arial" w:cs="Arial"/>
          <w:color w:val="auto"/>
          <w:sz w:val="24"/>
          <w:szCs w:val="24"/>
        </w:rPr>
      </w:pPr>
      <w:r w:rsidRPr="00DD7626">
        <w:rPr>
          <w:rFonts w:ascii="Arial" w:hAnsi="Arial" w:cs="Arial"/>
          <w:color w:val="auto"/>
          <w:sz w:val="24"/>
          <w:szCs w:val="24"/>
        </w:rPr>
        <w:t xml:space="preserve">4. A rebate of any transaction fees for the prior fiscal year paid for sole source procurements made by the institution in accordance with subsection E of </w:t>
      </w:r>
      <w:hyperlink r:id="rId22" w:history="1">
        <w:r w:rsidRPr="0001289D">
          <w:rPr>
            <w:rStyle w:val="Hyperlink"/>
            <w:rFonts w:ascii="Arial" w:hAnsi="Arial" w:cs="Arial"/>
            <w:sz w:val="24"/>
            <w:szCs w:val="24"/>
          </w:rPr>
          <w:t>§ 2.2-4303</w:t>
        </w:r>
      </w:hyperlink>
      <w:r>
        <w:rPr>
          <w:rFonts w:ascii="Arial" w:hAnsi="Arial" w:cs="Arial"/>
          <w:color w:val="auto"/>
          <w:sz w:val="24"/>
          <w:szCs w:val="24"/>
        </w:rPr>
        <w:t xml:space="preserve">, </w:t>
      </w:r>
      <w:r w:rsidRPr="00DD7626">
        <w:rPr>
          <w:rFonts w:ascii="Arial" w:hAnsi="Arial" w:cs="Arial"/>
          <w:color w:val="auto"/>
          <w:sz w:val="24"/>
          <w:szCs w:val="24"/>
        </w:rPr>
        <w:t>for using a vendor who is not registered with the Department of General Service</w:t>
      </w:r>
      <w:r>
        <w:rPr>
          <w:rFonts w:ascii="Arial" w:hAnsi="Arial" w:cs="Arial"/>
          <w:color w:val="auto"/>
          <w:sz w:val="24"/>
          <w:szCs w:val="24"/>
        </w:rPr>
        <w:t>’</w:t>
      </w:r>
      <w:r w:rsidRPr="00DD7626">
        <w:rPr>
          <w:rFonts w:ascii="Arial" w:hAnsi="Arial" w:cs="Arial"/>
          <w:color w:val="auto"/>
          <w:sz w:val="24"/>
          <w:szCs w:val="24"/>
        </w:rPr>
        <w:t xml:space="preserve">s web-based electronic procurement program commonly known as </w:t>
      </w:r>
      <w:r>
        <w:rPr>
          <w:rFonts w:ascii="Arial" w:hAnsi="Arial" w:cs="Arial"/>
          <w:color w:val="auto"/>
          <w:sz w:val="24"/>
          <w:szCs w:val="24"/>
        </w:rPr>
        <w:t>“</w:t>
      </w:r>
      <w:r w:rsidRPr="00DD7626">
        <w:rPr>
          <w:rFonts w:ascii="Arial" w:hAnsi="Arial" w:cs="Arial"/>
          <w:color w:val="auto"/>
          <w:sz w:val="24"/>
          <w:szCs w:val="24"/>
        </w:rPr>
        <w:t>eVA</w:t>
      </w:r>
      <w:r>
        <w:rPr>
          <w:rFonts w:ascii="Arial" w:hAnsi="Arial" w:cs="Arial"/>
          <w:color w:val="auto"/>
          <w:sz w:val="24"/>
          <w:szCs w:val="24"/>
        </w:rPr>
        <w:t>”</w:t>
      </w:r>
      <w:r w:rsidRPr="00DD7626">
        <w:rPr>
          <w:rFonts w:ascii="Arial" w:hAnsi="Arial" w:cs="Arial"/>
          <w:color w:val="auto"/>
          <w:sz w:val="24"/>
          <w:szCs w:val="24"/>
        </w:rPr>
        <w:t xml:space="preserve">, as provided in the appropriation act. Such rebate shall be certified by the Department of General Services and paid to each public institution by August 15, or as soon thereafter as practicable, of the fiscal year immediately following the year of certification. </w:t>
      </w:r>
      <w:r>
        <w:rPr>
          <w:rFonts w:ascii="Arial" w:hAnsi="Arial" w:cs="Arial"/>
          <w:color w:val="auto"/>
          <w:sz w:val="24"/>
          <w:szCs w:val="24"/>
        </w:rPr>
        <w:t xml:space="preserve">  </w:t>
      </w:r>
    </w:p>
    <w:p w:rsidR="00DB46BB" w:rsidRDefault="00DB46BB" w:rsidP="00DB46BB">
      <w:pPr>
        <w:spacing w:before="100" w:beforeAutospacing="1" w:after="100" w:afterAutospacing="1"/>
        <w:jc w:val="both"/>
        <w:rPr>
          <w:rFonts w:ascii="Arial" w:hAnsi="Arial" w:cs="Arial"/>
          <w:color w:val="auto"/>
          <w:sz w:val="24"/>
          <w:szCs w:val="24"/>
        </w:rPr>
      </w:pPr>
    </w:p>
    <w:p w:rsidR="00926530" w:rsidRDefault="00A70BD2" w:rsidP="00DB46BB">
      <w:pPr>
        <w:spacing w:before="100" w:beforeAutospacing="1" w:after="100" w:afterAutospacing="1"/>
        <w:jc w:val="both"/>
        <w:rPr>
          <w:rFonts w:ascii="Arial" w:hAnsi="Arial" w:cs="Arial"/>
          <w:color w:val="auto"/>
          <w:sz w:val="24"/>
          <w:szCs w:val="24"/>
        </w:rPr>
      </w:pPr>
      <w:r>
        <w:rPr>
          <w:rFonts w:ascii="Arial" w:hAnsi="Arial" w:cs="Arial"/>
          <w:color w:val="auto"/>
          <w:sz w:val="24"/>
          <w:szCs w:val="24"/>
        </w:rPr>
        <w:t xml:space="preserve"> </w:t>
      </w:r>
      <w:bookmarkStart w:id="3" w:name="RANGE!A1:K19"/>
      <w:bookmarkEnd w:id="3"/>
    </w:p>
    <w:p w:rsidR="006A35EF" w:rsidRDefault="006A35EF" w:rsidP="006A35EF">
      <w:pPr>
        <w:spacing w:before="100" w:beforeAutospacing="1" w:after="100" w:afterAutospacing="1"/>
        <w:rPr>
          <w:rFonts w:ascii="Arial" w:hAnsi="Arial" w:cs="Arial"/>
          <w:color w:val="000000"/>
          <w:sz w:val="24"/>
          <w:szCs w:val="24"/>
        </w:rPr>
      </w:pPr>
    </w:p>
    <w:p w:rsidR="00C740ED" w:rsidRDefault="00864C86" w:rsidP="00C740ED">
      <w:pPr>
        <w:spacing w:before="100" w:beforeAutospacing="1" w:after="100" w:afterAutospacing="1"/>
        <w:jc w:val="center"/>
        <w:rPr>
          <w:rFonts w:ascii="Arial" w:hAnsi="Arial" w:cs="Arial"/>
          <w:color w:val="000000"/>
          <w:sz w:val="24"/>
          <w:szCs w:val="24"/>
        </w:rPr>
      </w:pPr>
      <w:r w:rsidRPr="00864C86">
        <w:rPr>
          <w:noProof/>
        </w:rPr>
        <w:drawing>
          <wp:inline distT="0" distB="0" distL="0" distR="0" wp14:anchorId="5EF128ED" wp14:editId="64BBF7EB">
            <wp:extent cx="5806440" cy="3362698"/>
            <wp:effectExtent l="0" t="0" r="3810" b="0"/>
            <wp:docPr id="3" name="Picture 3" title="Appendix C General Fund Financial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440" cy="3362698"/>
                    </a:xfrm>
                    <a:prstGeom prst="rect">
                      <a:avLst/>
                    </a:prstGeom>
                    <a:noFill/>
                    <a:ln>
                      <a:noFill/>
                    </a:ln>
                  </pic:spPr>
                </pic:pic>
              </a:graphicData>
            </a:graphic>
          </wp:inline>
        </w:drawing>
      </w:r>
    </w:p>
    <w:p w:rsidR="00C740ED" w:rsidRDefault="00C740ED" w:rsidP="006A35EF">
      <w:pPr>
        <w:spacing w:before="100" w:beforeAutospacing="1" w:after="100" w:afterAutospacing="1"/>
        <w:rPr>
          <w:rFonts w:ascii="Arial" w:hAnsi="Arial" w:cs="Arial"/>
          <w:color w:val="000000"/>
          <w:sz w:val="24"/>
          <w:szCs w:val="24"/>
        </w:rPr>
      </w:pPr>
    </w:p>
    <w:p w:rsidR="00C740ED" w:rsidRDefault="00C740ED" w:rsidP="006A35EF">
      <w:pPr>
        <w:spacing w:before="100" w:beforeAutospacing="1" w:after="100" w:afterAutospacing="1"/>
        <w:rPr>
          <w:rFonts w:ascii="Arial" w:hAnsi="Arial" w:cs="Arial"/>
          <w:color w:val="000000"/>
          <w:sz w:val="24"/>
          <w:szCs w:val="24"/>
        </w:rPr>
      </w:pPr>
    </w:p>
    <w:p w:rsidR="00C740ED" w:rsidRDefault="00C740ED" w:rsidP="006A35EF">
      <w:pPr>
        <w:spacing w:before="100" w:beforeAutospacing="1" w:after="100" w:afterAutospacing="1"/>
        <w:rPr>
          <w:rFonts w:ascii="Arial" w:hAnsi="Arial" w:cs="Arial"/>
          <w:color w:val="000000"/>
          <w:sz w:val="24"/>
          <w:szCs w:val="24"/>
        </w:rPr>
      </w:pPr>
    </w:p>
    <w:p w:rsidR="00C740ED" w:rsidRDefault="00C740ED" w:rsidP="006A35EF">
      <w:pPr>
        <w:spacing w:before="100" w:beforeAutospacing="1" w:after="100" w:afterAutospacing="1"/>
        <w:rPr>
          <w:rFonts w:ascii="Arial" w:hAnsi="Arial" w:cs="Arial"/>
          <w:color w:val="000000"/>
          <w:sz w:val="24"/>
          <w:szCs w:val="24"/>
        </w:rPr>
      </w:pPr>
    </w:p>
    <w:p w:rsidR="00C740ED" w:rsidRDefault="00C740ED" w:rsidP="006A35EF">
      <w:pPr>
        <w:spacing w:before="100" w:beforeAutospacing="1" w:after="100" w:afterAutospacing="1"/>
        <w:rPr>
          <w:rFonts w:ascii="Arial" w:hAnsi="Arial" w:cs="Arial"/>
          <w:color w:val="000000"/>
          <w:sz w:val="24"/>
          <w:szCs w:val="24"/>
        </w:rPr>
      </w:pPr>
    </w:p>
    <w:p w:rsidR="00C62696" w:rsidRDefault="00C62696" w:rsidP="00DB46BB">
      <w:pPr>
        <w:spacing w:before="100" w:beforeAutospacing="1" w:after="100" w:afterAutospacing="1"/>
        <w:jc w:val="both"/>
        <w:rPr>
          <w:rFonts w:ascii="Arial" w:hAnsi="Arial" w:cs="Arial"/>
          <w:color w:val="000000"/>
          <w:sz w:val="24"/>
          <w:szCs w:val="24"/>
        </w:rPr>
      </w:pPr>
    </w:p>
    <w:p w:rsidR="00C62696" w:rsidRDefault="00C62696" w:rsidP="00DB46BB">
      <w:pPr>
        <w:spacing w:before="100" w:beforeAutospacing="1" w:after="100" w:afterAutospacing="1"/>
        <w:jc w:val="both"/>
        <w:rPr>
          <w:rFonts w:ascii="Arial" w:hAnsi="Arial" w:cs="Arial"/>
          <w:color w:val="000000"/>
          <w:sz w:val="24"/>
          <w:szCs w:val="24"/>
        </w:rPr>
      </w:pPr>
    </w:p>
    <w:p w:rsidR="00C62696" w:rsidRDefault="00C62696">
      <w:pPr>
        <w:rPr>
          <w:rFonts w:ascii="Arial" w:hAnsi="Arial" w:cs="Arial"/>
          <w:color w:val="000000"/>
          <w:sz w:val="24"/>
          <w:szCs w:val="24"/>
        </w:rPr>
      </w:pPr>
      <w:r>
        <w:rPr>
          <w:rFonts w:ascii="Arial" w:hAnsi="Arial" w:cs="Arial"/>
          <w:color w:val="000000"/>
          <w:sz w:val="24"/>
          <w:szCs w:val="24"/>
        </w:rPr>
        <w:br w:type="page"/>
      </w:r>
    </w:p>
    <w:p w:rsidR="002D3E71" w:rsidRPr="00DB46BB" w:rsidRDefault="002D3E71" w:rsidP="002D3E71">
      <w:pPr>
        <w:spacing w:before="100" w:beforeAutospacing="1" w:after="100" w:afterAutospacing="1"/>
        <w:jc w:val="both"/>
        <w:rPr>
          <w:rFonts w:ascii="Arial" w:hAnsi="Arial" w:cs="Arial"/>
          <w:color w:val="000000"/>
          <w:sz w:val="28"/>
          <w:szCs w:val="28"/>
        </w:rPr>
      </w:pPr>
      <w:r w:rsidRPr="00DB46BB">
        <w:rPr>
          <w:rFonts w:ascii="Arial" w:hAnsi="Arial" w:cs="Arial"/>
          <w:color w:val="000000"/>
          <w:sz w:val="28"/>
          <w:szCs w:val="28"/>
        </w:rPr>
        <w:t xml:space="preserve">Appendix D     </w:t>
      </w:r>
    </w:p>
    <w:p w:rsidR="002D3E71" w:rsidRDefault="002D3E71" w:rsidP="002D3E71">
      <w:pPr>
        <w:jc w:val="both"/>
        <w:rPr>
          <w:rFonts w:ascii="Arial" w:hAnsi="Arial" w:cs="Arial"/>
          <w:color w:val="000000"/>
          <w:sz w:val="24"/>
          <w:szCs w:val="24"/>
        </w:rPr>
      </w:pPr>
      <w:r>
        <w:rPr>
          <w:rFonts w:ascii="Arial" w:hAnsi="Arial" w:cs="Arial"/>
          <w:color w:val="000000"/>
          <w:sz w:val="24"/>
          <w:szCs w:val="24"/>
        </w:rPr>
        <w:t>REMEDIATION PLAN FOR NORFOLK STATE UNIVERSITY</w:t>
      </w:r>
    </w:p>
    <w:p w:rsidR="002D3E71" w:rsidRDefault="002D3E71" w:rsidP="002D3E71">
      <w:pPr>
        <w:jc w:val="both"/>
        <w:rPr>
          <w:rFonts w:ascii="Arial" w:hAnsi="Arial" w:cs="Arial"/>
          <w:color w:val="000000"/>
          <w:sz w:val="24"/>
          <w:szCs w:val="24"/>
        </w:rPr>
      </w:pPr>
    </w:p>
    <w:p w:rsidR="002D3E71" w:rsidRDefault="002D3E71" w:rsidP="002D3E71">
      <w:pPr>
        <w:jc w:val="both"/>
        <w:rPr>
          <w:rFonts w:ascii="Arial" w:hAnsi="Arial" w:cs="Arial"/>
          <w:b/>
          <w:bCs/>
          <w:color w:val="000000"/>
          <w:sz w:val="24"/>
          <w:szCs w:val="24"/>
        </w:rPr>
      </w:pPr>
      <w:r w:rsidRPr="00DB46BB">
        <w:rPr>
          <w:rFonts w:ascii="Arial" w:hAnsi="Arial" w:cs="Arial"/>
          <w:b/>
          <w:bCs/>
          <w:color w:val="000000"/>
          <w:sz w:val="24"/>
          <w:szCs w:val="24"/>
        </w:rPr>
        <w:t>Background</w:t>
      </w:r>
    </w:p>
    <w:p w:rsidR="002D3E71" w:rsidRPr="00DB46BB" w:rsidRDefault="002D3E71" w:rsidP="002D3E71">
      <w:pPr>
        <w:jc w:val="both"/>
        <w:rPr>
          <w:rFonts w:ascii="Arial" w:hAnsi="Arial" w:cs="Arial"/>
          <w:b/>
          <w:bCs/>
          <w:color w:val="000000"/>
          <w:sz w:val="24"/>
          <w:szCs w:val="24"/>
        </w:rPr>
      </w:pPr>
    </w:p>
    <w:p w:rsidR="002D3E71" w:rsidRDefault="002D3E71" w:rsidP="002D3E71">
      <w:pPr>
        <w:jc w:val="both"/>
        <w:rPr>
          <w:rFonts w:ascii="Arial" w:hAnsi="Arial" w:cs="Arial"/>
          <w:bCs/>
          <w:color w:val="000000"/>
          <w:sz w:val="24"/>
          <w:szCs w:val="24"/>
        </w:rPr>
      </w:pPr>
      <w:r w:rsidRPr="00DB46BB">
        <w:rPr>
          <w:rFonts w:ascii="Arial" w:hAnsi="Arial" w:cs="Arial"/>
          <w:bCs/>
          <w:color w:val="000000"/>
          <w:sz w:val="24"/>
          <w:szCs w:val="24"/>
        </w:rPr>
        <w:t xml:space="preserve">Out of the six general performance measures (PM) for the 2018 Biennial Assessment, Norfolk State University (NSU) did not meet PMs 4, 5 and 6.  These PMs specifically are concerned with upper level and transfer student enrollment projections, degrees conferred, and data on transfer trends.  In the past five years NSU has gone through multiple changes which, unfortunately, adversely affected the outcomes of PMs 4, 5, and 6: (1) placed on warning and then on probation by SACSCOC, (2) suffered from negative press coverage, and (3) experienced changes in senior leadership. </w:t>
      </w:r>
    </w:p>
    <w:p w:rsidR="002D3E71" w:rsidRPr="00DB46BB" w:rsidRDefault="002D3E71" w:rsidP="002D3E71">
      <w:pPr>
        <w:jc w:val="both"/>
        <w:rPr>
          <w:rFonts w:ascii="Arial" w:hAnsi="Arial" w:cs="Arial"/>
          <w:bCs/>
          <w:color w:val="000000"/>
          <w:sz w:val="24"/>
          <w:szCs w:val="24"/>
        </w:rPr>
      </w:pPr>
    </w:p>
    <w:p w:rsidR="002D3E71" w:rsidRPr="00DB46BB" w:rsidRDefault="002D3E71" w:rsidP="002D3E71">
      <w:pPr>
        <w:jc w:val="both"/>
        <w:rPr>
          <w:rFonts w:ascii="Arial" w:hAnsi="Arial" w:cs="Arial"/>
          <w:color w:val="000000"/>
          <w:sz w:val="24"/>
          <w:szCs w:val="24"/>
        </w:rPr>
      </w:pPr>
      <w:r w:rsidRPr="00DB46BB">
        <w:rPr>
          <w:rFonts w:ascii="Arial" w:hAnsi="Arial" w:cs="Arial"/>
          <w:bCs/>
          <w:color w:val="000000"/>
          <w:sz w:val="24"/>
          <w:szCs w:val="24"/>
        </w:rPr>
        <w:t>Performance Measure 4</w:t>
      </w:r>
      <w:r w:rsidRPr="00DB46BB">
        <w:rPr>
          <w:rFonts w:ascii="Arial" w:hAnsi="Arial" w:cs="Arial"/>
          <w:color w:val="000000"/>
          <w:sz w:val="24"/>
          <w:szCs w:val="24"/>
        </w:rPr>
        <w:t xml:space="preserve"> requires a four-year institution, such as NSU, to meet at least 95% of its State Council-approved biennial projections for the number of in-state junior and senior level full-time equivalent students</w:t>
      </w:r>
      <w:r w:rsidRPr="00DB46BB">
        <w:rPr>
          <w:rFonts w:ascii="Arial" w:hAnsi="Arial" w:cs="Arial"/>
          <w:color w:val="000000"/>
          <w:sz w:val="24"/>
          <w:szCs w:val="24"/>
          <w:vertAlign w:val="superscript"/>
        </w:rPr>
        <w:footnoteReference w:id="1"/>
      </w:r>
      <w:r w:rsidRPr="00DB46BB">
        <w:rPr>
          <w:rFonts w:ascii="Arial" w:hAnsi="Arial" w:cs="Arial"/>
          <w:color w:val="000000"/>
          <w:sz w:val="24"/>
          <w:szCs w:val="24"/>
        </w:rPr>
        <w:t xml:space="preserve">.  The juniors and seniors of 2016-2017 were freshmen in 2013-2014 and 2014-2015 respectively, which was the time period when enrollment at Norfolk State University (NSU) dropped drastically.  During this time, </w:t>
      </w:r>
      <w:r>
        <w:rPr>
          <w:rFonts w:ascii="Arial" w:hAnsi="Arial" w:cs="Arial"/>
          <w:color w:val="000000"/>
          <w:sz w:val="24"/>
          <w:szCs w:val="24"/>
        </w:rPr>
        <w:t>the Commission on Colleges of the Southern Association of Colleges and Schools (</w:t>
      </w:r>
      <w:r w:rsidRPr="00DB46BB">
        <w:rPr>
          <w:rFonts w:ascii="Arial" w:hAnsi="Arial" w:cs="Arial"/>
          <w:color w:val="000000"/>
          <w:sz w:val="24"/>
          <w:szCs w:val="24"/>
        </w:rPr>
        <w:t>SACSCOC</w:t>
      </w:r>
      <w:r>
        <w:rPr>
          <w:rFonts w:ascii="Arial" w:hAnsi="Arial" w:cs="Arial"/>
          <w:color w:val="000000"/>
          <w:sz w:val="24"/>
          <w:szCs w:val="24"/>
        </w:rPr>
        <w:t>)</w:t>
      </w:r>
      <w:r w:rsidRPr="00DB46BB">
        <w:rPr>
          <w:rFonts w:ascii="Arial" w:hAnsi="Arial" w:cs="Arial"/>
          <w:color w:val="000000"/>
          <w:sz w:val="24"/>
          <w:szCs w:val="24"/>
        </w:rPr>
        <w:t xml:space="preserve"> placed NSU on warning (2013) and then probation (2014). In December 2015, NSU got off probation and returned to being in good standing. The target enrollment was based on 2015 projections. There were 665 undergraduate students who dropped out of the university in 2014.  The overall enrollment declined by 701 students (36 graduate students and 665 undergraduate students).</w:t>
      </w:r>
    </w:p>
    <w:p w:rsidR="002D3E71" w:rsidRPr="00DB46BB" w:rsidRDefault="002D3E71" w:rsidP="002D3E71">
      <w:pPr>
        <w:jc w:val="both"/>
        <w:rPr>
          <w:rFonts w:ascii="Arial" w:hAnsi="Arial" w:cs="Arial"/>
          <w:color w:val="000000"/>
          <w:sz w:val="24"/>
          <w:szCs w:val="24"/>
        </w:rPr>
      </w:pPr>
    </w:p>
    <w:p w:rsidR="002D3E71" w:rsidRPr="002D3E71" w:rsidRDefault="002D3E71" w:rsidP="002D3E71">
      <w:pPr>
        <w:rPr>
          <w:rFonts w:ascii="Arial" w:hAnsi="Arial" w:cs="Arial"/>
          <w:color w:val="auto"/>
          <w:sz w:val="24"/>
          <w:szCs w:val="24"/>
        </w:rPr>
      </w:pPr>
      <w:r w:rsidRPr="002D3E71">
        <w:rPr>
          <w:rFonts w:ascii="Arial" w:hAnsi="Arial" w:cs="Arial"/>
          <w:color w:val="auto"/>
          <w:sz w:val="24"/>
          <w:szCs w:val="24"/>
        </w:rPr>
        <w:t>Table 1</w:t>
      </w:r>
    </w:p>
    <w:p w:rsidR="002D3E71" w:rsidRPr="002D3E71" w:rsidRDefault="002D3E71" w:rsidP="002D3E71">
      <w:pPr>
        <w:ind w:firstLine="360"/>
        <w:rPr>
          <w:rFonts w:ascii="Arial" w:hAnsi="Arial" w:cs="Arial"/>
          <w:color w:val="auto"/>
          <w:sz w:val="24"/>
          <w:szCs w:val="24"/>
        </w:rPr>
      </w:pPr>
    </w:p>
    <w:tbl>
      <w:tblPr>
        <w:tblW w:w="7300" w:type="dxa"/>
        <w:tblCellMar>
          <w:left w:w="0" w:type="dxa"/>
          <w:right w:w="0" w:type="dxa"/>
        </w:tblCellMar>
        <w:tblLook w:val="04A0" w:firstRow="1" w:lastRow="0" w:firstColumn="1" w:lastColumn="0" w:noHBand="0" w:noVBand="1"/>
      </w:tblPr>
      <w:tblGrid>
        <w:gridCol w:w="2200"/>
        <w:gridCol w:w="1020"/>
        <w:gridCol w:w="1020"/>
        <w:gridCol w:w="1020"/>
        <w:gridCol w:w="1020"/>
        <w:gridCol w:w="1020"/>
      </w:tblGrid>
      <w:tr w:rsidR="002D3E71" w:rsidRPr="002D3E71" w:rsidTr="00640D48">
        <w:trPr>
          <w:trHeight w:val="345"/>
        </w:trPr>
        <w:tc>
          <w:tcPr>
            <w:tcW w:w="220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Enrollment</w:t>
            </w:r>
          </w:p>
        </w:tc>
        <w:tc>
          <w:tcPr>
            <w:tcW w:w="1020" w:type="dxa"/>
            <w:shd w:val="clear" w:color="auto" w:fill="0033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center"/>
              <w:rPr>
                <w:rFonts w:ascii="Arial" w:eastAsia="Calibri" w:hAnsi="Arial" w:cs="Arial"/>
                <w:color w:val="auto"/>
                <w:sz w:val="24"/>
                <w:szCs w:val="24"/>
              </w:rPr>
            </w:pPr>
            <w:r w:rsidRPr="002D3E71">
              <w:rPr>
                <w:rFonts w:ascii="Arial" w:eastAsia="Calibri" w:hAnsi="Arial" w:cs="Arial"/>
                <w:b/>
                <w:bCs/>
                <w:color w:val="FFFFFF"/>
                <w:sz w:val="24"/>
                <w:szCs w:val="24"/>
              </w:rPr>
              <w:t>2013</w:t>
            </w:r>
          </w:p>
        </w:tc>
        <w:tc>
          <w:tcPr>
            <w:tcW w:w="1020" w:type="dxa"/>
            <w:shd w:val="clear" w:color="auto" w:fill="0033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center"/>
              <w:rPr>
                <w:rFonts w:ascii="Arial" w:eastAsia="Calibri" w:hAnsi="Arial" w:cs="Arial"/>
                <w:color w:val="auto"/>
                <w:sz w:val="24"/>
                <w:szCs w:val="24"/>
              </w:rPr>
            </w:pPr>
            <w:r w:rsidRPr="002D3E71">
              <w:rPr>
                <w:rFonts w:ascii="Arial" w:eastAsia="Calibri" w:hAnsi="Arial" w:cs="Arial"/>
                <w:b/>
                <w:bCs/>
                <w:color w:val="FFFFFF"/>
                <w:sz w:val="24"/>
                <w:szCs w:val="24"/>
              </w:rPr>
              <w:t>2014</w:t>
            </w:r>
          </w:p>
        </w:tc>
        <w:tc>
          <w:tcPr>
            <w:tcW w:w="1020" w:type="dxa"/>
            <w:shd w:val="clear" w:color="auto" w:fill="0033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center"/>
              <w:rPr>
                <w:rFonts w:ascii="Arial" w:eastAsia="Calibri" w:hAnsi="Arial" w:cs="Arial"/>
                <w:color w:val="auto"/>
                <w:sz w:val="24"/>
                <w:szCs w:val="24"/>
              </w:rPr>
            </w:pPr>
            <w:r w:rsidRPr="002D3E71">
              <w:rPr>
                <w:rFonts w:ascii="Arial" w:eastAsia="Calibri" w:hAnsi="Arial" w:cs="Arial"/>
                <w:b/>
                <w:bCs/>
                <w:color w:val="FFFFFF"/>
                <w:sz w:val="24"/>
                <w:szCs w:val="24"/>
              </w:rPr>
              <w:t>2015</w:t>
            </w:r>
          </w:p>
        </w:tc>
        <w:tc>
          <w:tcPr>
            <w:tcW w:w="1020" w:type="dxa"/>
            <w:shd w:val="clear" w:color="auto" w:fill="0033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center"/>
              <w:rPr>
                <w:rFonts w:ascii="Arial" w:eastAsia="Calibri" w:hAnsi="Arial" w:cs="Arial"/>
                <w:color w:val="auto"/>
                <w:sz w:val="24"/>
                <w:szCs w:val="24"/>
              </w:rPr>
            </w:pPr>
            <w:r w:rsidRPr="002D3E71">
              <w:rPr>
                <w:rFonts w:ascii="Arial" w:eastAsia="Calibri" w:hAnsi="Arial" w:cs="Arial"/>
                <w:b/>
                <w:bCs/>
                <w:color w:val="FFFFFF"/>
                <w:sz w:val="24"/>
                <w:szCs w:val="24"/>
              </w:rPr>
              <w:t>2016</w:t>
            </w:r>
          </w:p>
        </w:tc>
        <w:tc>
          <w:tcPr>
            <w:tcW w:w="1020" w:type="dxa"/>
            <w:shd w:val="clear" w:color="auto" w:fill="0033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center"/>
              <w:rPr>
                <w:rFonts w:ascii="Arial" w:eastAsia="Calibri" w:hAnsi="Arial" w:cs="Arial"/>
                <w:color w:val="auto"/>
                <w:sz w:val="24"/>
                <w:szCs w:val="24"/>
              </w:rPr>
            </w:pPr>
            <w:r w:rsidRPr="002D3E71">
              <w:rPr>
                <w:rFonts w:ascii="Arial" w:eastAsia="Calibri" w:hAnsi="Arial" w:cs="Arial"/>
                <w:b/>
                <w:bCs/>
                <w:color w:val="FFFFFF"/>
                <w:sz w:val="24"/>
                <w:szCs w:val="24"/>
              </w:rPr>
              <w:t>2017</w:t>
            </w:r>
          </w:p>
        </w:tc>
      </w:tr>
      <w:tr w:rsidR="002D3E71" w:rsidRPr="002D3E71" w:rsidTr="00640D48">
        <w:trPr>
          <w:trHeight w:val="308"/>
        </w:trPr>
        <w:tc>
          <w:tcPr>
            <w:tcW w:w="220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 xml:space="preserve">Total </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6,728</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6,027</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5,107</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5,421</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5,305</w:t>
            </w:r>
          </w:p>
        </w:tc>
      </w:tr>
      <w:tr w:rsidR="002D3E71" w:rsidRPr="002D3E71" w:rsidTr="00640D48">
        <w:trPr>
          <w:trHeight w:val="308"/>
        </w:trPr>
        <w:tc>
          <w:tcPr>
            <w:tcW w:w="220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Undergraduate</w:t>
            </w:r>
          </w:p>
        </w:tc>
        <w:tc>
          <w:tcPr>
            <w:tcW w:w="1020" w:type="dxa"/>
            <w:shd w:val="clear" w:color="auto" w:fill="C0C0C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6,021</w:t>
            </w:r>
          </w:p>
        </w:tc>
        <w:tc>
          <w:tcPr>
            <w:tcW w:w="1020" w:type="dxa"/>
            <w:shd w:val="clear" w:color="auto" w:fill="C0C0C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5,356</w:t>
            </w:r>
          </w:p>
        </w:tc>
        <w:tc>
          <w:tcPr>
            <w:tcW w:w="1020" w:type="dxa"/>
            <w:shd w:val="clear" w:color="auto" w:fill="C0C0C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4,522</w:t>
            </w:r>
          </w:p>
        </w:tc>
        <w:tc>
          <w:tcPr>
            <w:tcW w:w="1020" w:type="dxa"/>
            <w:shd w:val="clear" w:color="auto" w:fill="C0C0C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4,739</w:t>
            </w:r>
          </w:p>
        </w:tc>
        <w:tc>
          <w:tcPr>
            <w:tcW w:w="1020" w:type="dxa"/>
            <w:shd w:val="clear" w:color="auto" w:fill="C0C0C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4,689</w:t>
            </w:r>
          </w:p>
        </w:tc>
      </w:tr>
      <w:tr w:rsidR="002D3E71" w:rsidRPr="002D3E71" w:rsidTr="00640D48">
        <w:trPr>
          <w:trHeight w:val="308"/>
        </w:trPr>
        <w:tc>
          <w:tcPr>
            <w:tcW w:w="220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Graduate</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707</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671</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585</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682</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auto"/>
                <w:sz w:val="24"/>
                <w:szCs w:val="24"/>
              </w:rPr>
              <w:t>616</w:t>
            </w:r>
          </w:p>
        </w:tc>
      </w:tr>
      <w:tr w:rsidR="002D3E71" w:rsidRPr="002D3E71" w:rsidTr="00640D48">
        <w:trPr>
          <w:trHeight w:val="285"/>
        </w:trPr>
        <w:tc>
          <w:tcPr>
            <w:tcW w:w="220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Total Yr to Yr Difference</w:t>
            </w:r>
          </w:p>
        </w:tc>
        <w:tc>
          <w:tcPr>
            <w:tcW w:w="1020" w:type="dxa"/>
            <w:noWrap/>
            <w:tcMar>
              <w:top w:w="0" w:type="dxa"/>
              <w:left w:w="108" w:type="dxa"/>
              <w:bottom w:w="0" w:type="dxa"/>
              <w:right w:w="108" w:type="dxa"/>
            </w:tcMar>
            <w:vAlign w:val="bottom"/>
            <w:hideMark/>
          </w:tcPr>
          <w:p w:rsidR="002D3E71" w:rsidRPr="002D3E71" w:rsidRDefault="002D3E71" w:rsidP="002D3E71">
            <w:pPr>
              <w:rPr>
                <w:rFonts w:ascii="Arial" w:eastAsia="Calibri" w:hAnsi="Arial" w:cs="Arial"/>
                <w:color w:val="auto"/>
                <w:sz w:val="24"/>
                <w:szCs w:val="24"/>
              </w:rPr>
            </w:pPr>
          </w:p>
        </w:tc>
        <w:tc>
          <w:tcPr>
            <w:tcW w:w="1020" w:type="dxa"/>
            <w:shd w:val="clear" w:color="auto" w:fill="FFFF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b/>
                <w:bCs/>
                <w:color w:val="FF0000"/>
                <w:sz w:val="24"/>
                <w:szCs w:val="24"/>
              </w:rPr>
              <w:t>-701</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-920</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314</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-116</w:t>
            </w:r>
          </w:p>
        </w:tc>
      </w:tr>
      <w:tr w:rsidR="002D3E71" w:rsidRPr="002D3E71" w:rsidTr="00640D48">
        <w:trPr>
          <w:trHeight w:val="285"/>
        </w:trPr>
        <w:tc>
          <w:tcPr>
            <w:tcW w:w="3220" w:type="dxa"/>
            <w:gridSpan w:val="2"/>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Undergraduate Yr to Yr Difference</w:t>
            </w:r>
          </w:p>
        </w:tc>
        <w:tc>
          <w:tcPr>
            <w:tcW w:w="1020" w:type="dxa"/>
            <w:shd w:val="clear" w:color="auto" w:fill="FFFF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b/>
                <w:bCs/>
                <w:color w:val="FF0000"/>
                <w:sz w:val="24"/>
                <w:szCs w:val="24"/>
              </w:rPr>
              <w:t>-665</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-834</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217</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-50</w:t>
            </w:r>
          </w:p>
        </w:tc>
      </w:tr>
      <w:tr w:rsidR="002D3E71" w:rsidRPr="002D3E71" w:rsidTr="00640D48">
        <w:trPr>
          <w:trHeight w:val="285"/>
        </w:trPr>
        <w:tc>
          <w:tcPr>
            <w:tcW w:w="3220" w:type="dxa"/>
            <w:gridSpan w:val="2"/>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rPr>
                <w:rFonts w:ascii="Arial" w:eastAsia="Calibri" w:hAnsi="Arial" w:cs="Arial"/>
                <w:color w:val="auto"/>
                <w:sz w:val="24"/>
                <w:szCs w:val="24"/>
              </w:rPr>
            </w:pPr>
            <w:r w:rsidRPr="002D3E71">
              <w:rPr>
                <w:rFonts w:ascii="Arial" w:eastAsia="Calibri" w:hAnsi="Arial" w:cs="Arial"/>
                <w:color w:val="000000"/>
                <w:sz w:val="24"/>
                <w:szCs w:val="24"/>
              </w:rPr>
              <w:t>Graduate Yr to Yr Difference</w:t>
            </w:r>
          </w:p>
        </w:tc>
        <w:tc>
          <w:tcPr>
            <w:tcW w:w="1020" w:type="dxa"/>
            <w:shd w:val="clear" w:color="auto" w:fill="FFFF00"/>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b/>
                <w:bCs/>
                <w:color w:val="FF0000"/>
                <w:sz w:val="24"/>
                <w:szCs w:val="24"/>
              </w:rPr>
              <w:t>-36</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-86</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97</w:t>
            </w:r>
          </w:p>
        </w:tc>
        <w:tc>
          <w:tcPr>
            <w:tcW w:w="1020" w:type="dxa"/>
            <w:noWrap/>
            <w:tcMar>
              <w:top w:w="0" w:type="dxa"/>
              <w:left w:w="108" w:type="dxa"/>
              <w:bottom w:w="0" w:type="dxa"/>
              <w:right w:w="108" w:type="dxa"/>
            </w:tcMar>
            <w:vAlign w:val="bottom"/>
            <w:hideMark/>
          </w:tcPr>
          <w:p w:rsidR="002D3E71" w:rsidRPr="002D3E71" w:rsidRDefault="002D3E71" w:rsidP="002D3E71">
            <w:pPr>
              <w:spacing w:before="100" w:beforeAutospacing="1" w:after="100" w:afterAutospacing="1"/>
              <w:jc w:val="right"/>
              <w:rPr>
                <w:rFonts w:ascii="Arial" w:eastAsia="Calibri" w:hAnsi="Arial" w:cs="Arial"/>
                <w:color w:val="auto"/>
                <w:sz w:val="24"/>
                <w:szCs w:val="24"/>
              </w:rPr>
            </w:pPr>
            <w:r w:rsidRPr="002D3E71">
              <w:rPr>
                <w:rFonts w:ascii="Arial" w:eastAsia="Calibri" w:hAnsi="Arial" w:cs="Arial"/>
                <w:color w:val="000000"/>
                <w:sz w:val="24"/>
                <w:szCs w:val="24"/>
              </w:rPr>
              <w:t>-66</w:t>
            </w:r>
          </w:p>
        </w:tc>
      </w:tr>
    </w:tbl>
    <w:p w:rsidR="002D3E71" w:rsidRPr="002D3E71" w:rsidRDefault="002D3E71" w:rsidP="002D3E71">
      <w:pPr>
        <w:jc w:val="both"/>
        <w:rPr>
          <w:rFonts w:ascii="Arial" w:hAnsi="Arial" w:cs="Arial"/>
          <w:bCs/>
          <w:color w:val="000000"/>
          <w:sz w:val="24"/>
          <w:szCs w:val="24"/>
        </w:rPr>
      </w:pPr>
    </w:p>
    <w:p w:rsidR="002D3E71" w:rsidRDefault="002D3E71" w:rsidP="002D3E71">
      <w:pPr>
        <w:jc w:val="both"/>
        <w:rPr>
          <w:rFonts w:ascii="Arial" w:hAnsi="Arial" w:cs="Arial"/>
          <w:bCs/>
          <w:color w:val="000000"/>
          <w:sz w:val="24"/>
          <w:szCs w:val="24"/>
        </w:rPr>
      </w:pPr>
    </w:p>
    <w:p w:rsidR="002D3E71" w:rsidRDefault="002D3E71" w:rsidP="002D3E71">
      <w:pPr>
        <w:jc w:val="both"/>
        <w:rPr>
          <w:rFonts w:ascii="Arial" w:hAnsi="Arial" w:cs="Arial"/>
          <w:color w:val="000000"/>
          <w:sz w:val="24"/>
          <w:szCs w:val="24"/>
        </w:rPr>
      </w:pPr>
      <w:r w:rsidRPr="00DB46BB">
        <w:rPr>
          <w:rFonts w:ascii="Arial" w:hAnsi="Arial" w:cs="Arial"/>
          <w:bCs/>
          <w:color w:val="000000"/>
          <w:sz w:val="24"/>
          <w:szCs w:val="24"/>
        </w:rPr>
        <w:t>Performance Measure 5</w:t>
      </w:r>
      <w:r w:rsidRPr="00DB46BB">
        <w:rPr>
          <w:rFonts w:ascii="Arial" w:hAnsi="Arial" w:cs="Arial"/>
          <w:color w:val="000000"/>
          <w:sz w:val="24"/>
          <w:szCs w:val="24"/>
        </w:rPr>
        <w:t xml:space="preserve"> calls for the institution to “maintain or increase the number of in-state associate and bachelor degrees awarded to students from underrepresented populations.”</w:t>
      </w:r>
      <w:r w:rsidRPr="00DB46BB">
        <w:rPr>
          <w:rFonts w:ascii="Arial" w:hAnsi="Arial" w:cs="Arial"/>
          <w:color w:val="000000"/>
          <w:sz w:val="24"/>
          <w:szCs w:val="24"/>
          <w:vertAlign w:val="superscript"/>
        </w:rPr>
        <w:t>2</w:t>
      </w:r>
      <w:r w:rsidRPr="00DB46BB">
        <w:rPr>
          <w:rFonts w:ascii="Arial" w:hAnsi="Arial" w:cs="Arial"/>
          <w:color w:val="000000"/>
          <w:sz w:val="24"/>
          <w:szCs w:val="24"/>
        </w:rPr>
        <w:t xml:space="preserve"> The target was missed by only eight students. The target was 813 and the actual enrollment was 805. NSU has always had a population of students who meet all four requirements for being classified as underrepresented: (1) Non-white US citizens and permanent residents, (2) Degree-recipients receiving Pell grants at any time during the five years prior to degree award, (3) Non-traditional students: age 25 or older at entry, and (4) Students from Virginia localities with low associate and baccalaureate attainment rates. </w:t>
      </w:r>
    </w:p>
    <w:p w:rsidR="002D3E71" w:rsidRPr="00DB46BB" w:rsidRDefault="002D3E71" w:rsidP="002D3E71">
      <w:pPr>
        <w:jc w:val="both"/>
        <w:rPr>
          <w:rFonts w:ascii="Arial" w:hAnsi="Arial" w:cs="Arial"/>
          <w:color w:val="000000"/>
          <w:sz w:val="24"/>
          <w:szCs w:val="24"/>
        </w:rPr>
      </w:pPr>
    </w:p>
    <w:p w:rsidR="002D3E71" w:rsidRDefault="002D3E71" w:rsidP="002D3E71">
      <w:pPr>
        <w:jc w:val="both"/>
        <w:rPr>
          <w:rFonts w:ascii="Arial" w:hAnsi="Arial" w:cs="Arial"/>
          <w:color w:val="000000"/>
          <w:sz w:val="24"/>
          <w:szCs w:val="24"/>
        </w:rPr>
      </w:pPr>
      <w:r w:rsidRPr="00DB46BB">
        <w:rPr>
          <w:rFonts w:ascii="Arial" w:hAnsi="Arial" w:cs="Arial"/>
          <w:bCs/>
          <w:color w:val="000000"/>
          <w:sz w:val="24"/>
          <w:szCs w:val="24"/>
        </w:rPr>
        <w:t>Performance Measure 6</w:t>
      </w:r>
      <w:r w:rsidRPr="00DB46BB">
        <w:rPr>
          <w:rFonts w:ascii="Arial" w:hAnsi="Arial" w:cs="Arial"/>
          <w:color w:val="000000"/>
          <w:sz w:val="24"/>
          <w:szCs w:val="24"/>
        </w:rPr>
        <w:t xml:space="preserve"> expects the institution to “maintain or increase the number of in-state two-year transfers to four-year institutions.”</w:t>
      </w:r>
      <w:r w:rsidRPr="00DB46BB">
        <w:rPr>
          <w:rFonts w:ascii="Arial" w:hAnsi="Arial" w:cs="Arial"/>
          <w:color w:val="000000"/>
          <w:sz w:val="24"/>
          <w:szCs w:val="24"/>
          <w:vertAlign w:val="superscript"/>
        </w:rPr>
        <w:t>3</w:t>
      </w:r>
      <w:r w:rsidRPr="00DB46BB">
        <w:rPr>
          <w:rFonts w:ascii="Arial" w:hAnsi="Arial" w:cs="Arial"/>
          <w:color w:val="000000"/>
          <w:sz w:val="24"/>
          <w:szCs w:val="24"/>
        </w:rPr>
        <w:t> According to the data from Table 2, the number count is 399, which makes NSU 53 students off the actual enrollment of 346</w:t>
      </w:r>
      <w:r w:rsidRPr="00DB46BB">
        <w:rPr>
          <w:rFonts w:ascii="Arial" w:hAnsi="Arial" w:cs="Arial"/>
          <w:color w:val="000000"/>
          <w:sz w:val="24"/>
          <w:szCs w:val="24"/>
          <w:vertAlign w:val="superscript"/>
        </w:rPr>
        <w:footnoteReference w:id="2"/>
      </w:r>
      <w:r w:rsidRPr="00DB46BB">
        <w:rPr>
          <w:rFonts w:ascii="Arial" w:hAnsi="Arial" w:cs="Arial"/>
          <w:color w:val="000000"/>
          <w:sz w:val="24"/>
          <w:szCs w:val="24"/>
        </w:rPr>
        <w:t>. In 2010, NSU had an enrollment of about 6964 students. NSU’s enrollment dropped significantly from 2010-2016, which is similar to the trend ex</w:t>
      </w:r>
      <w:r w:rsidR="004B5F35">
        <w:rPr>
          <w:rFonts w:ascii="Arial" w:hAnsi="Arial" w:cs="Arial"/>
          <w:color w:val="000000"/>
          <w:sz w:val="24"/>
          <w:szCs w:val="24"/>
        </w:rPr>
        <w:t>perienced at many other HBCUs. </w:t>
      </w:r>
      <w:r w:rsidRPr="00DB46BB">
        <w:rPr>
          <w:rFonts w:ascii="Arial" w:hAnsi="Arial" w:cs="Arial"/>
          <w:color w:val="000000"/>
          <w:sz w:val="24"/>
          <w:szCs w:val="24"/>
        </w:rPr>
        <w:t xml:space="preserve">The enrollment at NSU started to increase for the first time in 2016.  </w:t>
      </w:r>
    </w:p>
    <w:p w:rsidR="002D3E71" w:rsidRPr="00DB46BB" w:rsidRDefault="002D3E71" w:rsidP="002D3E71">
      <w:pPr>
        <w:jc w:val="both"/>
        <w:rPr>
          <w:rFonts w:ascii="Arial" w:hAnsi="Arial" w:cs="Arial"/>
          <w:color w:val="000000"/>
          <w:sz w:val="24"/>
          <w:szCs w:val="24"/>
        </w:rPr>
      </w:pPr>
    </w:p>
    <w:p w:rsidR="002D3E71" w:rsidRDefault="002D3E71" w:rsidP="002D3E71">
      <w:pPr>
        <w:jc w:val="both"/>
        <w:rPr>
          <w:rFonts w:ascii="Arial" w:hAnsi="Arial" w:cs="Arial"/>
          <w:color w:val="000000"/>
          <w:sz w:val="24"/>
          <w:szCs w:val="24"/>
        </w:rPr>
      </w:pPr>
      <w:r w:rsidRPr="00DB46BB">
        <w:rPr>
          <w:rFonts w:ascii="Arial" w:hAnsi="Arial" w:cs="Arial"/>
          <w:color w:val="000000"/>
          <w:sz w:val="24"/>
          <w:szCs w:val="24"/>
        </w:rPr>
        <w:t>Table 2</w:t>
      </w:r>
    </w:p>
    <w:p w:rsidR="002D3E71" w:rsidRDefault="002D3E71" w:rsidP="002D3E71">
      <w:pPr>
        <w:jc w:val="both"/>
        <w:rPr>
          <w:rFonts w:ascii="Arial" w:hAnsi="Arial" w:cs="Arial"/>
          <w:bCs/>
          <w:color w:val="000000"/>
          <w:sz w:val="24"/>
          <w:szCs w:val="24"/>
        </w:rPr>
      </w:pPr>
    </w:p>
    <w:tbl>
      <w:tblPr>
        <w:tblW w:w="9198" w:type="dxa"/>
        <w:tblCellMar>
          <w:left w:w="0" w:type="dxa"/>
          <w:right w:w="0" w:type="dxa"/>
        </w:tblCellMar>
        <w:tblLook w:val="04A0" w:firstRow="1" w:lastRow="0" w:firstColumn="1" w:lastColumn="0" w:noHBand="0" w:noVBand="1"/>
      </w:tblPr>
      <w:tblGrid>
        <w:gridCol w:w="2206"/>
        <w:gridCol w:w="893"/>
        <w:gridCol w:w="893"/>
        <w:gridCol w:w="893"/>
        <w:gridCol w:w="893"/>
        <w:gridCol w:w="893"/>
        <w:gridCol w:w="893"/>
        <w:gridCol w:w="893"/>
        <w:gridCol w:w="830"/>
      </w:tblGrid>
      <w:tr w:rsidR="002D3E71" w:rsidRPr="00DD2188" w:rsidTr="00640D48">
        <w:trPr>
          <w:trHeight w:val="285"/>
        </w:trPr>
        <w:tc>
          <w:tcPr>
            <w:tcW w:w="2206" w:type="dxa"/>
            <w:tcBorders>
              <w:top w:val="single" w:sz="8" w:space="0" w:color="C0C0C0"/>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Enrollment</w:t>
            </w:r>
          </w:p>
        </w:tc>
        <w:tc>
          <w:tcPr>
            <w:tcW w:w="6992" w:type="dxa"/>
            <w:gridSpan w:val="8"/>
            <w:tcBorders>
              <w:top w:val="nil"/>
              <w:left w:val="nil"/>
              <w:bottom w:val="single" w:sz="8" w:space="0" w:color="C0C0C0"/>
              <w:right w:val="nil"/>
            </w:tcBorders>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TR01: Trends in Transfer from Two-Year Institutions</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 </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2009-10</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2010-11</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2011-12</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2012-13</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2013-14</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2014-15</w:t>
            </w:r>
          </w:p>
        </w:tc>
        <w:tc>
          <w:tcPr>
            <w:tcW w:w="893"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2015-16</w:t>
            </w:r>
          </w:p>
        </w:tc>
        <w:tc>
          <w:tcPr>
            <w:tcW w:w="741" w:type="dxa"/>
            <w:tcBorders>
              <w:top w:val="nil"/>
              <w:left w:val="nil"/>
              <w:bottom w:val="single" w:sz="8" w:space="0" w:color="C0C0C0"/>
              <w:right w:val="single" w:sz="8" w:space="0" w:color="C0C0C0"/>
            </w:tcBorders>
            <w:shd w:val="clear" w:color="auto" w:fill="33CCCC"/>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2016-17</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a. Total Transfers</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298</w:t>
            </w:r>
          </w:p>
        </w:tc>
        <w:tc>
          <w:tcPr>
            <w:tcW w:w="893" w:type="dxa"/>
            <w:tcBorders>
              <w:top w:val="nil"/>
              <w:left w:val="nil"/>
              <w:bottom w:val="single" w:sz="8" w:space="0" w:color="C0C0C0"/>
              <w:right w:val="single" w:sz="8" w:space="0" w:color="C0C0C0"/>
            </w:tcBorders>
            <w:shd w:val="clear" w:color="auto" w:fill="FF0000"/>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399</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423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436</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338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254</w:t>
            </w:r>
          </w:p>
        </w:tc>
        <w:tc>
          <w:tcPr>
            <w:tcW w:w="893" w:type="dxa"/>
            <w:tcBorders>
              <w:top w:val="nil"/>
              <w:left w:val="nil"/>
              <w:bottom w:val="single" w:sz="8" w:space="0" w:color="C0C0C0"/>
              <w:right w:val="single" w:sz="8" w:space="0" w:color="C0C0C0"/>
            </w:tcBorders>
            <w:shd w:val="clear" w:color="auto" w:fill="00B050"/>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312</w:t>
            </w:r>
          </w:p>
        </w:tc>
        <w:tc>
          <w:tcPr>
            <w:tcW w:w="741" w:type="dxa"/>
            <w:tcBorders>
              <w:top w:val="nil"/>
              <w:left w:val="nil"/>
              <w:bottom w:val="single" w:sz="8" w:space="0" w:color="C0C0C0"/>
              <w:right w:val="single" w:sz="8" w:space="0" w:color="C0C0C0"/>
            </w:tcBorders>
            <w:shd w:val="clear" w:color="auto" w:fill="00B050"/>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
                <w:bCs/>
                <w:color w:val="000000"/>
                <w:sz w:val="24"/>
                <w:szCs w:val="24"/>
              </w:rPr>
              <w:t>380</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b. Men - Total</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73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87</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104</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104</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95</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71</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92</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93</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c. Women - Total</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225</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312</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319</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332</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243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183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220</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287</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d. Majority Students - Total</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120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173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340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48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37</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34</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e. Majority Students - Men</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31</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29</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5</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10</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6</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f. Majority Students - Women</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89</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144</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257</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60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35</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27</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28</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g. Students of Color - Total</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178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226</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83</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356</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290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226</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275</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346</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h. Students of Color - Men</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42</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58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21</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84</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82</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66</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82</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87</w:t>
            </w:r>
          </w:p>
        </w:tc>
      </w:tr>
      <w:tr w:rsidR="002D3E71" w:rsidRPr="00DD2188" w:rsidTr="00640D48">
        <w:trPr>
          <w:trHeight w:val="285"/>
        </w:trPr>
        <w:tc>
          <w:tcPr>
            <w:tcW w:w="2206" w:type="dxa"/>
            <w:tcBorders>
              <w:top w:val="nil"/>
              <w:left w:val="single" w:sz="8" w:space="0" w:color="C0C0C0"/>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i. Students of Color - Women</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136</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168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62</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272</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208</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160</w:t>
            </w:r>
          </w:p>
        </w:tc>
        <w:tc>
          <w:tcPr>
            <w:tcW w:w="893"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193</w:t>
            </w:r>
          </w:p>
        </w:tc>
        <w:tc>
          <w:tcPr>
            <w:tcW w:w="741" w:type="dxa"/>
            <w:tcBorders>
              <w:top w:val="nil"/>
              <w:left w:val="nil"/>
              <w:bottom w:val="single" w:sz="8" w:space="0" w:color="C0C0C0"/>
              <w:right w:val="single" w:sz="8" w:space="0" w:color="C0C0C0"/>
            </w:tcBorders>
            <w:shd w:val="clear" w:color="auto" w:fill="FFFFFF"/>
            <w:noWrap/>
            <w:tcMar>
              <w:top w:w="0" w:type="dxa"/>
              <w:left w:w="108" w:type="dxa"/>
              <w:bottom w:w="0" w:type="dxa"/>
              <w:right w:w="108" w:type="dxa"/>
            </w:tcMar>
            <w:vAlign w:val="center"/>
            <w:hideMark/>
          </w:tcPr>
          <w:p w:rsidR="002D3E71" w:rsidRPr="00DD2188" w:rsidRDefault="002D3E71" w:rsidP="00640D48">
            <w:pPr>
              <w:jc w:val="both"/>
              <w:rPr>
                <w:rFonts w:ascii="Arial" w:hAnsi="Arial" w:cs="Arial"/>
                <w:bCs/>
                <w:color w:val="000000"/>
                <w:sz w:val="24"/>
                <w:szCs w:val="24"/>
              </w:rPr>
            </w:pPr>
            <w:r w:rsidRPr="00DD2188">
              <w:rPr>
                <w:rFonts w:ascii="Arial" w:hAnsi="Arial" w:cs="Arial"/>
                <w:bCs/>
                <w:color w:val="000000"/>
                <w:sz w:val="24"/>
                <w:szCs w:val="24"/>
              </w:rPr>
              <w:t>259</w:t>
            </w:r>
          </w:p>
        </w:tc>
      </w:tr>
    </w:tbl>
    <w:p w:rsidR="002D3E71" w:rsidRDefault="002D3E71" w:rsidP="002D3E71">
      <w:pPr>
        <w:jc w:val="both"/>
        <w:rPr>
          <w:rFonts w:ascii="Arial" w:hAnsi="Arial" w:cs="Arial"/>
          <w:bCs/>
          <w:color w:val="000000"/>
          <w:sz w:val="24"/>
          <w:szCs w:val="24"/>
        </w:rPr>
      </w:pPr>
    </w:p>
    <w:p w:rsidR="002D3E71" w:rsidRDefault="002D3E71" w:rsidP="002D3E71">
      <w:pPr>
        <w:jc w:val="both"/>
        <w:rPr>
          <w:rFonts w:ascii="Arial" w:hAnsi="Arial" w:cs="Arial"/>
          <w:bCs/>
          <w:color w:val="000000"/>
          <w:sz w:val="24"/>
          <w:szCs w:val="24"/>
        </w:rPr>
      </w:pPr>
    </w:p>
    <w:p w:rsidR="002D3E71" w:rsidRDefault="002D3E71" w:rsidP="002D3E71">
      <w:pPr>
        <w:jc w:val="both"/>
        <w:rPr>
          <w:rFonts w:ascii="Arial" w:hAnsi="Arial" w:cs="Arial"/>
          <w:b/>
          <w:bCs/>
          <w:color w:val="000000"/>
          <w:sz w:val="24"/>
          <w:szCs w:val="24"/>
        </w:rPr>
      </w:pPr>
      <w:r w:rsidRPr="00DB46BB">
        <w:rPr>
          <w:rFonts w:ascii="Arial" w:hAnsi="Arial" w:cs="Arial"/>
          <w:b/>
          <w:bCs/>
          <w:color w:val="000000"/>
          <w:sz w:val="24"/>
          <w:szCs w:val="24"/>
        </w:rPr>
        <w:t>Current Status and Efforts Underway</w:t>
      </w:r>
    </w:p>
    <w:p w:rsidR="002D3E71" w:rsidRPr="00DB46BB" w:rsidRDefault="002D3E71" w:rsidP="002D3E71">
      <w:pPr>
        <w:jc w:val="both"/>
        <w:rPr>
          <w:rFonts w:ascii="Arial" w:hAnsi="Arial" w:cs="Arial"/>
          <w:b/>
          <w:bCs/>
          <w:color w:val="000000"/>
          <w:sz w:val="24"/>
          <w:szCs w:val="24"/>
        </w:rPr>
      </w:pPr>
    </w:p>
    <w:p w:rsidR="002D3E71" w:rsidRDefault="002D3E71" w:rsidP="002D3E71">
      <w:pPr>
        <w:jc w:val="both"/>
        <w:rPr>
          <w:rFonts w:ascii="Arial" w:hAnsi="Arial" w:cs="Arial"/>
          <w:color w:val="000000"/>
          <w:sz w:val="24"/>
          <w:szCs w:val="24"/>
        </w:rPr>
      </w:pPr>
      <w:r>
        <w:rPr>
          <w:rFonts w:ascii="Arial" w:hAnsi="Arial" w:cs="Arial"/>
          <w:color w:val="000000"/>
          <w:sz w:val="24"/>
          <w:szCs w:val="24"/>
        </w:rPr>
        <w:t>NSU</w:t>
      </w:r>
      <w:r w:rsidRPr="00DB46BB">
        <w:rPr>
          <w:rFonts w:ascii="Arial" w:hAnsi="Arial" w:cs="Arial"/>
          <w:color w:val="000000"/>
          <w:sz w:val="24"/>
          <w:szCs w:val="24"/>
        </w:rPr>
        <w:t xml:space="preserve"> is currently undergoing multiple initiatives in Academic Affairs and Student Affairs towards increasing degrees </w:t>
      </w:r>
      <w:r>
        <w:rPr>
          <w:rFonts w:ascii="Arial" w:hAnsi="Arial" w:cs="Arial"/>
          <w:color w:val="000000"/>
          <w:sz w:val="24"/>
          <w:szCs w:val="24"/>
        </w:rPr>
        <w:t xml:space="preserve">awarded and enrolling transfers. </w:t>
      </w:r>
      <w:r w:rsidRPr="00DB46BB">
        <w:rPr>
          <w:rFonts w:ascii="Arial" w:hAnsi="Arial" w:cs="Arial"/>
          <w:color w:val="000000"/>
          <w:sz w:val="24"/>
          <w:szCs w:val="24"/>
        </w:rPr>
        <w:t>For PM 4, the colleges/schools in Academic Affairs agree that in order for retention and progression to be successful, NSU should sustain the intrusive advising model lately adopted; increase bridge programs for freshmen; establish mentoring programs with peers, faculty, and those in industry; and have the areas of Student Success, academic departments, admissions, and enrollment collaborate with each other.  Enrollment Management echoes this sentiment in that it plans to work with other divisions in Student Affairs and Academic Affairs to develop a standard approach for retention and progression.</w:t>
      </w:r>
    </w:p>
    <w:p w:rsidR="002D3E71" w:rsidRPr="00DB46BB" w:rsidRDefault="002D3E71" w:rsidP="002D3E71">
      <w:pPr>
        <w:jc w:val="both"/>
        <w:rPr>
          <w:rFonts w:ascii="Arial" w:hAnsi="Arial" w:cs="Arial"/>
          <w:color w:val="000000"/>
          <w:sz w:val="24"/>
          <w:szCs w:val="24"/>
        </w:rPr>
      </w:pPr>
    </w:p>
    <w:p w:rsidR="002D3E71" w:rsidRDefault="002D3E71" w:rsidP="002D3E71">
      <w:pPr>
        <w:jc w:val="both"/>
        <w:rPr>
          <w:rFonts w:ascii="Arial" w:hAnsi="Arial" w:cs="Arial"/>
          <w:color w:val="000000"/>
          <w:sz w:val="24"/>
          <w:szCs w:val="24"/>
        </w:rPr>
      </w:pPr>
      <w:r w:rsidRPr="00DB46BB">
        <w:rPr>
          <w:rFonts w:ascii="Arial" w:hAnsi="Arial" w:cs="Arial"/>
          <w:color w:val="000000"/>
          <w:sz w:val="24"/>
          <w:szCs w:val="24"/>
        </w:rPr>
        <w:t xml:space="preserve">With regards to PM 5 Academic Affairs and Student Affairs are working towards expanding degree programs, creating departmental degree fact sheets for incoming students, forming partnerships with area high schools and community colleges to actively recruit from them, and providing more financial and academic resources for students. </w:t>
      </w:r>
      <w:r w:rsidRPr="00DB46BB">
        <w:rPr>
          <w:rFonts w:ascii="Arial" w:hAnsi="Arial" w:cs="Arial"/>
          <w:bCs/>
          <w:color w:val="000000"/>
          <w:sz w:val="24"/>
          <w:szCs w:val="24"/>
        </w:rPr>
        <w:t>NSU has developed several student retention and persistence initiatives to influence time to degree completion.</w:t>
      </w:r>
      <w:r w:rsidR="004B5F35">
        <w:rPr>
          <w:rFonts w:ascii="Arial" w:hAnsi="Arial" w:cs="Arial"/>
          <w:color w:val="000000"/>
          <w:sz w:val="24"/>
          <w:szCs w:val="24"/>
        </w:rPr>
        <w:t> </w:t>
      </w:r>
      <w:r w:rsidRPr="00DB46BB">
        <w:rPr>
          <w:rFonts w:ascii="Arial" w:hAnsi="Arial" w:cs="Arial"/>
          <w:color w:val="000000"/>
          <w:sz w:val="24"/>
          <w:szCs w:val="24"/>
        </w:rPr>
        <w:t>This is the second strategy of the three presented in the six-year plan: Accelerated Five Year BS/BA-MS/</w:t>
      </w:r>
      <w:r w:rsidR="004B5F35">
        <w:rPr>
          <w:rFonts w:ascii="Arial" w:hAnsi="Arial" w:cs="Arial"/>
          <w:color w:val="000000"/>
          <w:sz w:val="24"/>
          <w:szCs w:val="24"/>
        </w:rPr>
        <w:t>MA Extended Learning Programs. </w:t>
      </w:r>
      <w:r w:rsidRPr="00DB46BB">
        <w:rPr>
          <w:rFonts w:ascii="Arial" w:hAnsi="Arial" w:cs="Arial"/>
          <w:color w:val="000000"/>
          <w:sz w:val="24"/>
          <w:szCs w:val="24"/>
        </w:rPr>
        <w:t xml:space="preserve">NSU’s Six Year Plan (July 2017) states, “More specifically, reviewing our academic portfolio for areas of growth and expansion of our </w:t>
      </w:r>
      <w:r w:rsidR="004B5F35">
        <w:rPr>
          <w:rFonts w:ascii="Arial" w:hAnsi="Arial" w:cs="Arial"/>
          <w:color w:val="000000"/>
          <w:sz w:val="24"/>
          <w:szCs w:val="24"/>
        </w:rPr>
        <w:t>online programs was conducted. </w:t>
      </w:r>
      <w:r w:rsidRPr="00DB46BB">
        <w:rPr>
          <w:rFonts w:ascii="Arial" w:hAnsi="Arial" w:cs="Arial"/>
          <w:color w:val="000000"/>
          <w:sz w:val="24"/>
          <w:szCs w:val="24"/>
        </w:rPr>
        <w:t xml:space="preserve">Resulting new programs include full online and hybrid (combination of online and </w:t>
      </w:r>
      <w:r w:rsidR="004B5F35">
        <w:rPr>
          <w:rFonts w:ascii="Arial" w:hAnsi="Arial" w:cs="Arial"/>
          <w:color w:val="000000"/>
          <w:sz w:val="24"/>
          <w:szCs w:val="24"/>
        </w:rPr>
        <w:t>face-to-face) course delivery. </w:t>
      </w:r>
      <w:r w:rsidRPr="00DB46BB">
        <w:rPr>
          <w:rFonts w:ascii="Arial" w:hAnsi="Arial" w:cs="Arial"/>
          <w:color w:val="000000"/>
          <w:sz w:val="24"/>
          <w:szCs w:val="24"/>
        </w:rPr>
        <w:t xml:space="preserve">The identified programs hold the promise of accelerated completion of a traditional four-year degree and/or earning both an undergraduate and graduate degree (BS/MS) in 5 years” </w:t>
      </w:r>
      <w:r w:rsidR="004B5F35">
        <w:rPr>
          <w:rFonts w:ascii="Arial" w:hAnsi="Arial" w:cs="Arial"/>
          <w:color w:val="000000"/>
          <w:sz w:val="24"/>
          <w:szCs w:val="24"/>
        </w:rPr>
        <w:t>(p. 2). </w:t>
      </w:r>
      <w:r w:rsidRPr="00DB46BB">
        <w:rPr>
          <w:rFonts w:ascii="Arial" w:hAnsi="Arial" w:cs="Arial"/>
          <w:color w:val="000000"/>
          <w:sz w:val="24"/>
          <w:szCs w:val="24"/>
        </w:rPr>
        <w:t>Additionally, an increase in financial aid for juniors and seniors in good academic standing, STEM-H students who are eligible for “award need-based and lost dollar assistance scholarship,” and students “who meet eligibility requirements with need-based awards” will improve the graduation rate (p. 3).</w:t>
      </w:r>
    </w:p>
    <w:p w:rsidR="002D3E71" w:rsidRPr="00DB46BB" w:rsidRDefault="002D3E71" w:rsidP="002D3E71">
      <w:pPr>
        <w:jc w:val="both"/>
        <w:rPr>
          <w:rFonts w:ascii="Arial" w:hAnsi="Arial" w:cs="Arial"/>
          <w:color w:val="000000"/>
          <w:sz w:val="24"/>
          <w:szCs w:val="24"/>
        </w:rPr>
      </w:pPr>
    </w:p>
    <w:p w:rsidR="002D3E71" w:rsidRPr="00DB46BB" w:rsidRDefault="002D3E71" w:rsidP="002D3E71">
      <w:pPr>
        <w:jc w:val="both"/>
        <w:rPr>
          <w:rFonts w:ascii="Arial" w:hAnsi="Arial" w:cs="Arial"/>
          <w:color w:val="000000"/>
          <w:sz w:val="24"/>
          <w:szCs w:val="24"/>
        </w:rPr>
      </w:pPr>
      <w:r w:rsidRPr="00DB46BB">
        <w:rPr>
          <w:rFonts w:ascii="Arial" w:hAnsi="Arial" w:cs="Arial"/>
          <w:color w:val="000000"/>
          <w:sz w:val="24"/>
          <w:szCs w:val="24"/>
        </w:rPr>
        <w:t>The focus for PM 6 is to increase the recruitment efforts of two-year transfer students.  Therefore, Student Affairs is working in conjunction with Academic Affairs on developing curriculum guides for Community College students and counselors, implementing technology that enhances the transfer equivalency process, developing closer relationships with community college counselors and deans, and working with Enrollment Management on recruiting students and marketing outreach of th</w:t>
      </w:r>
      <w:r w:rsidR="004B5F35">
        <w:rPr>
          <w:rFonts w:ascii="Arial" w:hAnsi="Arial" w:cs="Arial"/>
          <w:color w:val="000000"/>
          <w:sz w:val="24"/>
          <w:szCs w:val="24"/>
        </w:rPr>
        <w:t xml:space="preserve">e institution to stakeholders. </w:t>
      </w:r>
      <w:r w:rsidRPr="00DB46BB">
        <w:rPr>
          <w:rFonts w:ascii="Arial" w:hAnsi="Arial" w:cs="Arial"/>
          <w:bCs/>
          <w:color w:val="000000"/>
          <w:sz w:val="24"/>
          <w:szCs w:val="24"/>
        </w:rPr>
        <w:t>NSU is strengthening articulation agreements with community colleges and updating transfer agreements.</w:t>
      </w:r>
      <w:r w:rsidR="004B5F35">
        <w:rPr>
          <w:rFonts w:ascii="Arial" w:hAnsi="Arial" w:cs="Arial"/>
          <w:color w:val="000000"/>
          <w:sz w:val="24"/>
          <w:szCs w:val="24"/>
        </w:rPr>
        <w:t> </w:t>
      </w:r>
      <w:r w:rsidRPr="00DB46BB">
        <w:rPr>
          <w:rFonts w:ascii="Arial" w:hAnsi="Arial" w:cs="Arial"/>
          <w:color w:val="000000"/>
          <w:sz w:val="24"/>
          <w:szCs w:val="24"/>
        </w:rPr>
        <w:t xml:space="preserve">In fact, “NSU continues to work with our community college partners facilitated by over 50 degree program articulation agreements and interactions with their respective community college representatives to identify potential transfer students for its </w:t>
      </w:r>
      <w:r w:rsidR="00434AC8" w:rsidRPr="00DB46BB">
        <w:rPr>
          <w:rFonts w:ascii="Arial" w:hAnsi="Arial" w:cs="Arial"/>
          <w:color w:val="000000"/>
          <w:sz w:val="24"/>
          <w:szCs w:val="24"/>
        </w:rPr>
        <w:t>Cybersecurity</w:t>
      </w:r>
      <w:r w:rsidRPr="00DB46BB">
        <w:rPr>
          <w:rFonts w:ascii="Arial" w:hAnsi="Arial" w:cs="Arial"/>
          <w:color w:val="000000"/>
          <w:sz w:val="24"/>
          <w:szCs w:val="24"/>
        </w:rPr>
        <w:t xml:space="preserve"> programs with multi-/inter-disciplinary exploration” (NSU 2017 Six Year Plan, 2017, p. 5).  These programs effectively prepare students for the workplace. </w:t>
      </w:r>
    </w:p>
    <w:p w:rsidR="002D3E71" w:rsidRDefault="002D3E71" w:rsidP="002D3E71">
      <w:pPr>
        <w:jc w:val="both"/>
        <w:rPr>
          <w:rFonts w:ascii="Arial" w:hAnsi="Arial" w:cs="Arial"/>
          <w:color w:val="000000"/>
          <w:sz w:val="24"/>
          <w:szCs w:val="24"/>
        </w:rPr>
      </w:pPr>
    </w:p>
    <w:p w:rsidR="002D3E71" w:rsidRDefault="002D3E71" w:rsidP="002D3E71">
      <w:pPr>
        <w:jc w:val="both"/>
        <w:rPr>
          <w:rFonts w:ascii="Arial" w:hAnsi="Arial" w:cs="Arial"/>
          <w:color w:val="000000"/>
          <w:sz w:val="24"/>
          <w:szCs w:val="24"/>
        </w:rPr>
      </w:pPr>
      <w:r>
        <w:rPr>
          <w:rFonts w:ascii="Arial" w:hAnsi="Arial" w:cs="Arial"/>
          <w:color w:val="000000"/>
          <w:sz w:val="24"/>
          <w:szCs w:val="24"/>
        </w:rPr>
        <w:t xml:space="preserve">A more detailed report listing objectives, tasks, success criteria, time frame and resources has been provided to SCHEV staff. </w:t>
      </w:r>
    </w:p>
    <w:p w:rsidR="002D3E71" w:rsidRDefault="002D3E71" w:rsidP="002D3E71">
      <w:pPr>
        <w:jc w:val="both"/>
        <w:rPr>
          <w:rFonts w:ascii="Arial" w:hAnsi="Arial" w:cs="Arial"/>
          <w:color w:val="000000"/>
          <w:sz w:val="24"/>
          <w:szCs w:val="24"/>
        </w:rPr>
      </w:pPr>
    </w:p>
    <w:p w:rsidR="002D3E71" w:rsidRPr="000316FB" w:rsidRDefault="002D3E71" w:rsidP="002D3E71">
      <w:pPr>
        <w:jc w:val="both"/>
        <w:rPr>
          <w:rFonts w:ascii="Arial" w:hAnsi="Arial" w:cs="Arial"/>
          <w:b/>
          <w:color w:val="000000"/>
          <w:sz w:val="24"/>
          <w:szCs w:val="24"/>
        </w:rPr>
      </w:pPr>
      <w:r w:rsidRPr="000316FB">
        <w:rPr>
          <w:rFonts w:ascii="Arial" w:hAnsi="Arial" w:cs="Arial"/>
          <w:b/>
          <w:color w:val="000000"/>
          <w:sz w:val="24"/>
          <w:szCs w:val="24"/>
        </w:rPr>
        <w:t>Follow-</w:t>
      </w:r>
      <w:r>
        <w:rPr>
          <w:rFonts w:ascii="Arial" w:hAnsi="Arial" w:cs="Arial"/>
          <w:b/>
          <w:color w:val="000000"/>
          <w:sz w:val="24"/>
          <w:szCs w:val="24"/>
        </w:rPr>
        <w:t>u</w:t>
      </w:r>
      <w:r w:rsidRPr="000316FB">
        <w:rPr>
          <w:rFonts w:ascii="Arial" w:hAnsi="Arial" w:cs="Arial"/>
          <w:b/>
          <w:color w:val="000000"/>
          <w:sz w:val="24"/>
          <w:szCs w:val="24"/>
        </w:rPr>
        <w:t>p</w:t>
      </w:r>
      <w:r>
        <w:rPr>
          <w:rFonts w:ascii="Arial" w:hAnsi="Arial" w:cs="Arial"/>
          <w:b/>
          <w:color w:val="000000"/>
          <w:sz w:val="24"/>
          <w:szCs w:val="24"/>
        </w:rPr>
        <w:t xml:space="preserve"> Plan</w:t>
      </w:r>
    </w:p>
    <w:p w:rsidR="002D3E71" w:rsidRDefault="002D3E71" w:rsidP="002D3E71">
      <w:pPr>
        <w:jc w:val="both"/>
        <w:rPr>
          <w:rFonts w:ascii="Arial" w:hAnsi="Arial" w:cs="Arial"/>
          <w:color w:val="000000"/>
          <w:sz w:val="24"/>
          <w:szCs w:val="24"/>
        </w:rPr>
      </w:pPr>
    </w:p>
    <w:p w:rsidR="002D3E71" w:rsidRDefault="002D3E71" w:rsidP="002D3E71">
      <w:pPr>
        <w:jc w:val="both"/>
        <w:rPr>
          <w:rFonts w:ascii="Arial" w:hAnsi="Arial" w:cs="Arial"/>
          <w:color w:val="000000"/>
          <w:sz w:val="24"/>
          <w:szCs w:val="24"/>
        </w:rPr>
      </w:pPr>
      <w:r>
        <w:rPr>
          <w:rFonts w:ascii="Arial" w:hAnsi="Arial" w:cs="Arial"/>
          <w:color w:val="000000"/>
          <w:sz w:val="24"/>
          <w:szCs w:val="24"/>
        </w:rPr>
        <w:t>SCHEV staff will provid</w:t>
      </w:r>
      <w:r w:rsidR="004B5F35">
        <w:rPr>
          <w:rFonts w:ascii="Arial" w:hAnsi="Arial" w:cs="Arial"/>
          <w:color w:val="000000"/>
          <w:sz w:val="24"/>
          <w:szCs w:val="24"/>
        </w:rPr>
        <w:t xml:space="preserve">e assistance as needed to NSU. </w:t>
      </w:r>
      <w:r>
        <w:rPr>
          <w:rFonts w:ascii="Arial" w:hAnsi="Arial" w:cs="Arial"/>
          <w:color w:val="000000"/>
          <w:sz w:val="24"/>
          <w:szCs w:val="24"/>
        </w:rPr>
        <w:t xml:space="preserve">An interim review will be performed in the summer of 2019 to determine if progress is being made.   </w:t>
      </w:r>
    </w:p>
    <w:p w:rsidR="002D3E71" w:rsidRDefault="002D3E71" w:rsidP="002D3E71"/>
    <w:p w:rsidR="002D3E71" w:rsidRDefault="002D3E71" w:rsidP="00F64D39">
      <w:pPr>
        <w:spacing w:before="100" w:beforeAutospacing="1" w:after="100" w:afterAutospacing="1"/>
        <w:jc w:val="both"/>
        <w:rPr>
          <w:rFonts w:ascii="Arial" w:hAnsi="Arial" w:cs="Arial"/>
          <w:color w:val="000000"/>
          <w:sz w:val="28"/>
          <w:szCs w:val="28"/>
        </w:rPr>
      </w:pPr>
    </w:p>
    <w:p w:rsidR="002D3E71" w:rsidRDefault="002D3E71" w:rsidP="00F64D39">
      <w:pPr>
        <w:spacing w:before="100" w:beforeAutospacing="1" w:after="100" w:afterAutospacing="1"/>
        <w:jc w:val="both"/>
        <w:rPr>
          <w:rFonts w:ascii="Arial" w:hAnsi="Arial" w:cs="Arial"/>
          <w:color w:val="000000"/>
          <w:sz w:val="28"/>
          <w:szCs w:val="28"/>
        </w:rPr>
      </w:pPr>
    </w:p>
    <w:p w:rsidR="00DD2188" w:rsidRPr="00DD2188" w:rsidRDefault="00DD2188" w:rsidP="00F64D39">
      <w:pPr>
        <w:spacing w:before="100" w:beforeAutospacing="1" w:after="100" w:afterAutospacing="1"/>
        <w:jc w:val="both"/>
        <w:rPr>
          <w:rFonts w:ascii="Arial" w:hAnsi="Arial" w:cs="Arial"/>
          <w:color w:val="000000"/>
          <w:sz w:val="28"/>
          <w:szCs w:val="28"/>
        </w:rPr>
      </w:pPr>
      <w:r w:rsidRPr="00DD2188">
        <w:rPr>
          <w:rFonts w:ascii="Arial" w:hAnsi="Arial" w:cs="Arial"/>
          <w:color w:val="000000"/>
          <w:sz w:val="28"/>
          <w:szCs w:val="28"/>
        </w:rPr>
        <w:t>APPENDIX</w:t>
      </w:r>
      <w:r w:rsidR="00C62696" w:rsidRPr="00DD2188">
        <w:rPr>
          <w:rFonts w:ascii="Arial" w:hAnsi="Arial" w:cs="Arial"/>
          <w:color w:val="000000"/>
          <w:sz w:val="28"/>
          <w:szCs w:val="28"/>
        </w:rPr>
        <w:t xml:space="preserve"> E </w:t>
      </w:r>
    </w:p>
    <w:p w:rsidR="00C62696" w:rsidRDefault="00DD2188"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REMEDIATION PLAN FOR RICHARD BLAND COLLEGE</w:t>
      </w:r>
    </w:p>
    <w:p w:rsidR="00DD2188" w:rsidRPr="00B431E8" w:rsidRDefault="00B431E8" w:rsidP="00F64D39">
      <w:pPr>
        <w:spacing w:before="100" w:beforeAutospacing="1" w:after="100" w:afterAutospacing="1"/>
        <w:jc w:val="both"/>
        <w:rPr>
          <w:rFonts w:ascii="Arial" w:hAnsi="Arial" w:cs="Arial"/>
          <w:b/>
          <w:color w:val="000000"/>
          <w:sz w:val="24"/>
          <w:szCs w:val="24"/>
        </w:rPr>
      </w:pPr>
      <w:r w:rsidRPr="00B431E8">
        <w:rPr>
          <w:rFonts w:ascii="Arial" w:hAnsi="Arial" w:cs="Arial"/>
          <w:b/>
          <w:color w:val="000000"/>
          <w:sz w:val="24"/>
          <w:szCs w:val="24"/>
        </w:rPr>
        <w:t>Background</w:t>
      </w:r>
    </w:p>
    <w:p w:rsidR="00B431E8" w:rsidRDefault="00B431E8"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Richard Bland College</w:t>
      </w:r>
      <w:r w:rsidR="007958C1">
        <w:rPr>
          <w:rFonts w:ascii="Arial" w:hAnsi="Arial" w:cs="Arial"/>
          <w:color w:val="000000"/>
          <w:sz w:val="24"/>
          <w:szCs w:val="24"/>
        </w:rPr>
        <w:t xml:space="preserve">’s </w:t>
      </w:r>
      <w:r w:rsidR="00A0515A">
        <w:rPr>
          <w:rFonts w:ascii="Arial" w:hAnsi="Arial" w:cs="Arial"/>
          <w:color w:val="000000"/>
          <w:sz w:val="24"/>
          <w:szCs w:val="24"/>
        </w:rPr>
        <w:t xml:space="preserve">(RBC’s) </w:t>
      </w:r>
      <w:r w:rsidR="007958C1">
        <w:rPr>
          <w:rFonts w:ascii="Arial" w:hAnsi="Arial" w:cs="Arial"/>
          <w:color w:val="000000"/>
          <w:sz w:val="24"/>
          <w:szCs w:val="24"/>
        </w:rPr>
        <w:t xml:space="preserve">results for 2015-16 and 2016-17 </w:t>
      </w:r>
      <w:r>
        <w:rPr>
          <w:rFonts w:ascii="Arial" w:hAnsi="Arial" w:cs="Arial"/>
          <w:color w:val="000000"/>
          <w:sz w:val="24"/>
          <w:szCs w:val="24"/>
        </w:rPr>
        <w:t xml:space="preserve">did not meet the targets for Performance Measures </w:t>
      </w:r>
      <w:r w:rsidR="008E4C05">
        <w:rPr>
          <w:rFonts w:ascii="Arial" w:hAnsi="Arial" w:cs="Arial"/>
          <w:color w:val="000000"/>
          <w:sz w:val="24"/>
          <w:szCs w:val="24"/>
        </w:rPr>
        <w:t xml:space="preserve">(PMs) </w:t>
      </w:r>
      <w:r w:rsidR="004B5F35">
        <w:rPr>
          <w:rFonts w:ascii="Arial" w:hAnsi="Arial" w:cs="Arial"/>
          <w:color w:val="000000"/>
          <w:sz w:val="24"/>
          <w:szCs w:val="24"/>
        </w:rPr>
        <w:t xml:space="preserve">2, 3, and 4. </w:t>
      </w:r>
      <w:r>
        <w:rPr>
          <w:rFonts w:ascii="Arial" w:hAnsi="Arial" w:cs="Arial"/>
          <w:color w:val="000000"/>
          <w:sz w:val="24"/>
          <w:szCs w:val="24"/>
        </w:rPr>
        <w:t xml:space="preserve">These measures specifically are concerned with </w:t>
      </w:r>
      <w:r w:rsidR="007958C1">
        <w:rPr>
          <w:rFonts w:ascii="Arial" w:hAnsi="Arial" w:cs="Arial"/>
          <w:color w:val="000000"/>
          <w:sz w:val="24"/>
          <w:szCs w:val="24"/>
        </w:rPr>
        <w:t xml:space="preserve">the number of in-state degree awards, STEM-H degree awards and the number of in-state degrees awarded to students from underrepresented populations.  </w:t>
      </w:r>
    </w:p>
    <w:p w:rsidR="00A0515A" w:rsidRDefault="00A0515A"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RBC’s</w:t>
      </w:r>
      <w:r w:rsidRPr="00A0515A">
        <w:rPr>
          <w:rFonts w:ascii="Arial" w:hAnsi="Arial" w:cs="Arial"/>
          <w:color w:val="000000"/>
          <w:sz w:val="24"/>
          <w:szCs w:val="24"/>
        </w:rPr>
        <w:t xml:space="preserve"> 2015 </w:t>
      </w:r>
      <w:r w:rsidR="00504F36">
        <w:rPr>
          <w:rFonts w:ascii="Arial" w:hAnsi="Arial" w:cs="Arial"/>
          <w:color w:val="000000"/>
          <w:sz w:val="24"/>
          <w:szCs w:val="24"/>
        </w:rPr>
        <w:t xml:space="preserve">enrollment and degree </w:t>
      </w:r>
      <w:r w:rsidRPr="00A0515A">
        <w:rPr>
          <w:rFonts w:ascii="Arial" w:hAnsi="Arial" w:cs="Arial"/>
          <w:color w:val="000000"/>
          <w:sz w:val="24"/>
          <w:szCs w:val="24"/>
        </w:rPr>
        <w:t>projections</w:t>
      </w:r>
      <w:r>
        <w:rPr>
          <w:rFonts w:ascii="Arial" w:hAnsi="Arial" w:cs="Arial"/>
          <w:color w:val="000000"/>
          <w:sz w:val="24"/>
          <w:szCs w:val="24"/>
        </w:rPr>
        <w:t>, which were used for comparison purposes for the 2018 Biennial Assessment</w:t>
      </w:r>
      <w:r w:rsidR="00504F36">
        <w:rPr>
          <w:rFonts w:ascii="Arial" w:hAnsi="Arial" w:cs="Arial"/>
          <w:color w:val="000000"/>
          <w:sz w:val="24"/>
          <w:szCs w:val="24"/>
        </w:rPr>
        <w:t xml:space="preserve"> for all three of these </w:t>
      </w:r>
      <w:r w:rsidR="008E4C05">
        <w:rPr>
          <w:rFonts w:ascii="Arial" w:hAnsi="Arial" w:cs="Arial"/>
          <w:color w:val="000000"/>
          <w:sz w:val="24"/>
          <w:szCs w:val="24"/>
        </w:rPr>
        <w:t>PMs</w:t>
      </w:r>
      <w:r>
        <w:rPr>
          <w:rFonts w:ascii="Arial" w:hAnsi="Arial" w:cs="Arial"/>
          <w:color w:val="000000"/>
          <w:sz w:val="24"/>
          <w:szCs w:val="24"/>
        </w:rPr>
        <w:t>,</w:t>
      </w:r>
      <w:r w:rsidRPr="00A0515A">
        <w:rPr>
          <w:rFonts w:ascii="Arial" w:hAnsi="Arial" w:cs="Arial"/>
          <w:color w:val="000000"/>
          <w:sz w:val="24"/>
          <w:szCs w:val="24"/>
        </w:rPr>
        <w:t xml:space="preserve"> were relatively aggressive because </w:t>
      </w:r>
      <w:r>
        <w:rPr>
          <w:rFonts w:ascii="Arial" w:hAnsi="Arial" w:cs="Arial"/>
          <w:color w:val="000000"/>
          <w:sz w:val="24"/>
          <w:szCs w:val="24"/>
        </w:rPr>
        <w:t>RBC</w:t>
      </w:r>
      <w:r w:rsidRPr="00A0515A">
        <w:rPr>
          <w:rFonts w:ascii="Arial" w:hAnsi="Arial" w:cs="Arial"/>
          <w:color w:val="000000"/>
          <w:sz w:val="24"/>
          <w:szCs w:val="24"/>
        </w:rPr>
        <w:t xml:space="preserve"> expected to see a larger impact from </w:t>
      </w:r>
      <w:r w:rsidR="00504F36">
        <w:rPr>
          <w:rFonts w:ascii="Arial" w:hAnsi="Arial" w:cs="Arial"/>
          <w:color w:val="000000"/>
          <w:sz w:val="24"/>
          <w:szCs w:val="24"/>
        </w:rPr>
        <w:t xml:space="preserve">its </w:t>
      </w:r>
      <w:r w:rsidRPr="00A0515A">
        <w:rPr>
          <w:rFonts w:ascii="Arial" w:hAnsi="Arial" w:cs="Arial"/>
          <w:color w:val="000000"/>
          <w:sz w:val="24"/>
          <w:szCs w:val="24"/>
        </w:rPr>
        <w:t>E</w:t>
      </w:r>
      <w:r>
        <w:rPr>
          <w:rFonts w:ascii="Arial" w:hAnsi="Arial" w:cs="Arial"/>
          <w:color w:val="000000"/>
          <w:sz w:val="24"/>
          <w:szCs w:val="24"/>
        </w:rPr>
        <w:t xml:space="preserve">xceptional </w:t>
      </w:r>
      <w:r w:rsidRPr="00A0515A">
        <w:rPr>
          <w:rFonts w:ascii="Arial" w:hAnsi="Arial" w:cs="Arial"/>
          <w:color w:val="000000"/>
          <w:sz w:val="24"/>
          <w:szCs w:val="24"/>
        </w:rPr>
        <w:t>S</w:t>
      </w:r>
      <w:r>
        <w:rPr>
          <w:rFonts w:ascii="Arial" w:hAnsi="Arial" w:cs="Arial"/>
          <w:color w:val="000000"/>
          <w:sz w:val="24"/>
          <w:szCs w:val="24"/>
        </w:rPr>
        <w:t xml:space="preserve">tudent </w:t>
      </w:r>
      <w:r w:rsidRPr="00A0515A">
        <w:rPr>
          <w:rFonts w:ascii="Arial" w:hAnsi="Arial" w:cs="Arial"/>
          <w:color w:val="000000"/>
          <w:sz w:val="24"/>
          <w:szCs w:val="24"/>
        </w:rPr>
        <w:t>E</w:t>
      </w:r>
      <w:r>
        <w:rPr>
          <w:rFonts w:ascii="Arial" w:hAnsi="Arial" w:cs="Arial"/>
          <w:color w:val="000000"/>
          <w:sz w:val="24"/>
          <w:szCs w:val="24"/>
        </w:rPr>
        <w:t>xperience (ESE)</w:t>
      </w:r>
      <w:r w:rsidR="004B5F35">
        <w:rPr>
          <w:rFonts w:ascii="Arial" w:hAnsi="Arial" w:cs="Arial"/>
          <w:color w:val="000000"/>
          <w:sz w:val="24"/>
          <w:szCs w:val="24"/>
        </w:rPr>
        <w:t xml:space="preserve"> model. </w:t>
      </w:r>
      <w:r w:rsidRPr="00A0515A">
        <w:rPr>
          <w:rFonts w:ascii="Arial" w:hAnsi="Arial" w:cs="Arial"/>
          <w:color w:val="000000"/>
          <w:sz w:val="24"/>
          <w:szCs w:val="24"/>
        </w:rPr>
        <w:t xml:space="preserve">In actuality, other issues that </w:t>
      </w:r>
      <w:r>
        <w:rPr>
          <w:rFonts w:ascii="Arial" w:hAnsi="Arial" w:cs="Arial"/>
          <w:color w:val="000000"/>
          <w:sz w:val="24"/>
          <w:szCs w:val="24"/>
        </w:rPr>
        <w:t>RBC</w:t>
      </w:r>
      <w:r w:rsidRPr="00A0515A">
        <w:rPr>
          <w:rFonts w:ascii="Arial" w:hAnsi="Arial" w:cs="Arial"/>
          <w:color w:val="000000"/>
          <w:sz w:val="24"/>
          <w:szCs w:val="24"/>
        </w:rPr>
        <w:t xml:space="preserve"> did not anticipate countered the positive changes </w:t>
      </w:r>
      <w:r>
        <w:rPr>
          <w:rFonts w:ascii="Arial" w:hAnsi="Arial" w:cs="Arial"/>
          <w:color w:val="000000"/>
          <w:sz w:val="24"/>
          <w:szCs w:val="24"/>
        </w:rPr>
        <w:t>that were</w:t>
      </w:r>
      <w:r w:rsidRPr="00A0515A">
        <w:rPr>
          <w:rFonts w:ascii="Arial" w:hAnsi="Arial" w:cs="Arial"/>
          <w:color w:val="000000"/>
          <w:sz w:val="24"/>
          <w:szCs w:val="24"/>
        </w:rPr>
        <w:t xml:space="preserve"> made</w:t>
      </w:r>
      <w:r w:rsidR="00504F36">
        <w:rPr>
          <w:rFonts w:ascii="Arial" w:hAnsi="Arial" w:cs="Arial"/>
          <w:color w:val="000000"/>
          <w:sz w:val="24"/>
          <w:szCs w:val="24"/>
        </w:rPr>
        <w:t xml:space="preserve"> and the projections were not met</w:t>
      </w:r>
      <w:r w:rsidRPr="00A0515A">
        <w:rPr>
          <w:rFonts w:ascii="Arial" w:hAnsi="Arial" w:cs="Arial"/>
          <w:color w:val="000000"/>
          <w:sz w:val="24"/>
          <w:szCs w:val="24"/>
        </w:rPr>
        <w:t xml:space="preserve">. </w:t>
      </w:r>
    </w:p>
    <w:p w:rsidR="009F14F9" w:rsidRDefault="00504F36"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With regard to STEM-H degrees</w:t>
      </w:r>
      <w:r w:rsidR="008E4C05">
        <w:rPr>
          <w:rFonts w:ascii="Arial" w:hAnsi="Arial" w:cs="Arial"/>
          <w:color w:val="000000"/>
          <w:sz w:val="24"/>
          <w:szCs w:val="24"/>
        </w:rPr>
        <w:t xml:space="preserve"> (PM 3)</w:t>
      </w:r>
      <w:r>
        <w:rPr>
          <w:rFonts w:ascii="Arial" w:hAnsi="Arial" w:cs="Arial"/>
          <w:color w:val="000000"/>
          <w:sz w:val="24"/>
          <w:szCs w:val="24"/>
        </w:rPr>
        <w:t>, RBC learned</w:t>
      </w:r>
      <w:r w:rsidRPr="00504F36">
        <w:rPr>
          <w:rFonts w:ascii="Arial" w:hAnsi="Arial" w:cs="Arial"/>
          <w:color w:val="000000"/>
          <w:sz w:val="24"/>
          <w:szCs w:val="24"/>
        </w:rPr>
        <w:t xml:space="preserve"> through the ESE model, that the A</w:t>
      </w:r>
      <w:r w:rsidR="009F14F9">
        <w:rPr>
          <w:rFonts w:ascii="Arial" w:hAnsi="Arial" w:cs="Arial"/>
          <w:color w:val="000000"/>
          <w:sz w:val="24"/>
          <w:szCs w:val="24"/>
        </w:rPr>
        <w:t xml:space="preserve">ssociate of </w:t>
      </w:r>
      <w:r w:rsidRPr="00504F36">
        <w:rPr>
          <w:rFonts w:ascii="Arial" w:hAnsi="Arial" w:cs="Arial"/>
          <w:color w:val="000000"/>
          <w:sz w:val="24"/>
          <w:szCs w:val="24"/>
        </w:rPr>
        <w:t>A</w:t>
      </w:r>
      <w:r w:rsidR="009F14F9">
        <w:rPr>
          <w:rFonts w:ascii="Arial" w:hAnsi="Arial" w:cs="Arial"/>
          <w:color w:val="000000"/>
          <w:sz w:val="24"/>
          <w:szCs w:val="24"/>
        </w:rPr>
        <w:t>rts (A.A.)</w:t>
      </w:r>
      <w:r w:rsidRPr="00504F36">
        <w:rPr>
          <w:rFonts w:ascii="Arial" w:hAnsi="Arial" w:cs="Arial"/>
          <w:color w:val="000000"/>
          <w:sz w:val="24"/>
          <w:szCs w:val="24"/>
        </w:rPr>
        <w:t xml:space="preserve"> degree was often more appropriate for </w:t>
      </w:r>
      <w:r w:rsidR="009F14F9">
        <w:rPr>
          <w:rFonts w:ascii="Arial" w:hAnsi="Arial" w:cs="Arial"/>
          <w:color w:val="000000"/>
          <w:sz w:val="24"/>
          <w:szCs w:val="24"/>
        </w:rPr>
        <w:t>its</w:t>
      </w:r>
      <w:r w:rsidRPr="00504F36">
        <w:rPr>
          <w:rFonts w:ascii="Arial" w:hAnsi="Arial" w:cs="Arial"/>
          <w:color w:val="000000"/>
          <w:sz w:val="24"/>
          <w:szCs w:val="24"/>
        </w:rPr>
        <w:t xml:space="preserve"> students </w:t>
      </w:r>
      <w:r w:rsidR="009F14F9">
        <w:rPr>
          <w:rFonts w:ascii="Arial" w:hAnsi="Arial" w:cs="Arial"/>
          <w:color w:val="000000"/>
          <w:sz w:val="24"/>
          <w:szCs w:val="24"/>
        </w:rPr>
        <w:t>tha</w:t>
      </w:r>
      <w:r w:rsidR="00F73FB1">
        <w:rPr>
          <w:rFonts w:ascii="Arial" w:hAnsi="Arial" w:cs="Arial"/>
          <w:color w:val="000000"/>
          <w:sz w:val="24"/>
          <w:szCs w:val="24"/>
        </w:rPr>
        <w:t>n</w:t>
      </w:r>
      <w:r w:rsidR="009F14F9">
        <w:rPr>
          <w:rFonts w:ascii="Arial" w:hAnsi="Arial" w:cs="Arial"/>
          <w:color w:val="000000"/>
          <w:sz w:val="24"/>
          <w:szCs w:val="24"/>
        </w:rPr>
        <w:t xml:space="preserve"> the Associate in Science (A.S.) </w:t>
      </w:r>
      <w:r w:rsidRPr="00504F36">
        <w:rPr>
          <w:rFonts w:ascii="Arial" w:hAnsi="Arial" w:cs="Arial"/>
          <w:color w:val="000000"/>
          <w:sz w:val="24"/>
          <w:szCs w:val="24"/>
        </w:rPr>
        <w:t xml:space="preserve">based on their transfer intentions. In 2013-14, </w:t>
      </w:r>
      <w:r w:rsidR="009F14F9">
        <w:rPr>
          <w:rFonts w:ascii="Arial" w:hAnsi="Arial" w:cs="Arial"/>
          <w:color w:val="000000"/>
          <w:sz w:val="24"/>
          <w:szCs w:val="24"/>
        </w:rPr>
        <w:t>two percent</w:t>
      </w:r>
      <w:r w:rsidRPr="00504F36">
        <w:rPr>
          <w:rFonts w:ascii="Arial" w:hAnsi="Arial" w:cs="Arial"/>
          <w:color w:val="000000"/>
          <w:sz w:val="24"/>
          <w:szCs w:val="24"/>
        </w:rPr>
        <w:t xml:space="preserve"> of </w:t>
      </w:r>
      <w:r w:rsidR="009F14F9">
        <w:rPr>
          <w:rFonts w:ascii="Arial" w:hAnsi="Arial" w:cs="Arial"/>
          <w:color w:val="000000"/>
          <w:sz w:val="24"/>
          <w:szCs w:val="24"/>
        </w:rPr>
        <w:t>RBC’s</w:t>
      </w:r>
      <w:r w:rsidRPr="00504F36">
        <w:rPr>
          <w:rFonts w:ascii="Arial" w:hAnsi="Arial" w:cs="Arial"/>
          <w:color w:val="000000"/>
          <w:sz w:val="24"/>
          <w:szCs w:val="24"/>
        </w:rPr>
        <w:t xml:space="preserve"> degrees conferred were A</w:t>
      </w:r>
      <w:r w:rsidR="009F14F9">
        <w:rPr>
          <w:rFonts w:ascii="Arial" w:hAnsi="Arial" w:cs="Arial"/>
          <w:color w:val="000000"/>
          <w:sz w:val="24"/>
          <w:szCs w:val="24"/>
        </w:rPr>
        <w:t>.</w:t>
      </w:r>
      <w:r w:rsidRPr="00504F36">
        <w:rPr>
          <w:rFonts w:ascii="Arial" w:hAnsi="Arial" w:cs="Arial"/>
          <w:color w:val="000000"/>
          <w:sz w:val="24"/>
          <w:szCs w:val="24"/>
        </w:rPr>
        <w:t>A</w:t>
      </w:r>
      <w:r w:rsidR="009F14F9">
        <w:rPr>
          <w:rFonts w:ascii="Arial" w:hAnsi="Arial" w:cs="Arial"/>
          <w:color w:val="000000"/>
          <w:sz w:val="24"/>
          <w:szCs w:val="24"/>
        </w:rPr>
        <w:t>.</w:t>
      </w:r>
      <w:r w:rsidRPr="00504F36">
        <w:rPr>
          <w:rFonts w:ascii="Arial" w:hAnsi="Arial" w:cs="Arial"/>
          <w:color w:val="000000"/>
          <w:sz w:val="24"/>
          <w:szCs w:val="24"/>
        </w:rPr>
        <w:t xml:space="preserve"> degrees, while in 2016-17, the A</w:t>
      </w:r>
      <w:r w:rsidR="009F14F9">
        <w:rPr>
          <w:rFonts w:ascii="Arial" w:hAnsi="Arial" w:cs="Arial"/>
          <w:color w:val="000000"/>
          <w:sz w:val="24"/>
          <w:szCs w:val="24"/>
        </w:rPr>
        <w:t>.</w:t>
      </w:r>
      <w:r w:rsidRPr="00504F36">
        <w:rPr>
          <w:rFonts w:ascii="Arial" w:hAnsi="Arial" w:cs="Arial"/>
          <w:color w:val="000000"/>
          <w:sz w:val="24"/>
          <w:szCs w:val="24"/>
        </w:rPr>
        <w:t>A</w:t>
      </w:r>
      <w:r w:rsidR="009F14F9">
        <w:rPr>
          <w:rFonts w:ascii="Arial" w:hAnsi="Arial" w:cs="Arial"/>
          <w:color w:val="000000"/>
          <w:sz w:val="24"/>
          <w:szCs w:val="24"/>
        </w:rPr>
        <w:t>.</w:t>
      </w:r>
      <w:r w:rsidRPr="00504F36">
        <w:rPr>
          <w:rFonts w:ascii="Arial" w:hAnsi="Arial" w:cs="Arial"/>
          <w:color w:val="000000"/>
          <w:sz w:val="24"/>
          <w:szCs w:val="24"/>
        </w:rPr>
        <w:t xml:space="preserve"> </w:t>
      </w:r>
      <w:r w:rsidR="00F73FB1">
        <w:rPr>
          <w:rFonts w:ascii="Arial" w:hAnsi="Arial" w:cs="Arial"/>
          <w:color w:val="000000"/>
          <w:sz w:val="24"/>
          <w:szCs w:val="24"/>
        </w:rPr>
        <w:t xml:space="preserve">degrees </w:t>
      </w:r>
      <w:r w:rsidRPr="00504F36">
        <w:rPr>
          <w:rFonts w:ascii="Arial" w:hAnsi="Arial" w:cs="Arial"/>
          <w:color w:val="000000"/>
          <w:sz w:val="24"/>
          <w:szCs w:val="24"/>
        </w:rPr>
        <w:t>represented 12</w:t>
      </w:r>
      <w:r w:rsidR="009F14F9">
        <w:rPr>
          <w:rFonts w:ascii="Arial" w:hAnsi="Arial" w:cs="Arial"/>
          <w:color w:val="000000"/>
          <w:sz w:val="24"/>
          <w:szCs w:val="24"/>
        </w:rPr>
        <w:t xml:space="preserve"> percent</w:t>
      </w:r>
      <w:r w:rsidRPr="00504F36">
        <w:rPr>
          <w:rFonts w:ascii="Arial" w:hAnsi="Arial" w:cs="Arial"/>
          <w:color w:val="000000"/>
          <w:sz w:val="24"/>
          <w:szCs w:val="24"/>
        </w:rPr>
        <w:t xml:space="preserve"> of degrees conferred. </w:t>
      </w:r>
      <w:r w:rsidR="009F14F9">
        <w:rPr>
          <w:rFonts w:ascii="Arial" w:hAnsi="Arial" w:cs="Arial"/>
          <w:color w:val="000000"/>
          <w:sz w:val="24"/>
          <w:szCs w:val="24"/>
        </w:rPr>
        <w:t>Therefore, results were not in line with the 2015 projections</w:t>
      </w:r>
      <w:r w:rsidR="00F73FB1">
        <w:rPr>
          <w:rFonts w:ascii="Arial" w:hAnsi="Arial" w:cs="Arial"/>
          <w:color w:val="000000"/>
          <w:sz w:val="24"/>
          <w:szCs w:val="24"/>
        </w:rPr>
        <w:t xml:space="preserve"> which had been based on the 2013-14 information</w:t>
      </w:r>
      <w:r w:rsidR="009F14F9">
        <w:rPr>
          <w:rFonts w:ascii="Arial" w:hAnsi="Arial" w:cs="Arial"/>
          <w:color w:val="000000"/>
          <w:sz w:val="24"/>
          <w:szCs w:val="24"/>
        </w:rPr>
        <w:t>.</w:t>
      </w:r>
    </w:p>
    <w:p w:rsidR="008E4C05" w:rsidRPr="008E4C05" w:rsidRDefault="008E4C05"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For PM 5 related to degree</w:t>
      </w:r>
      <w:r w:rsidR="00B37CB3">
        <w:rPr>
          <w:rFonts w:ascii="Arial" w:hAnsi="Arial" w:cs="Arial"/>
          <w:color w:val="000000"/>
          <w:sz w:val="24"/>
          <w:szCs w:val="24"/>
        </w:rPr>
        <w:t>s</w:t>
      </w:r>
      <w:r>
        <w:rPr>
          <w:rFonts w:ascii="Arial" w:hAnsi="Arial" w:cs="Arial"/>
          <w:color w:val="000000"/>
          <w:sz w:val="24"/>
          <w:szCs w:val="24"/>
        </w:rPr>
        <w:t xml:space="preserve"> awarded to in-state underrepresented students, RBC only missed the target for the bi</w:t>
      </w:r>
      <w:r w:rsidR="004B5F35">
        <w:rPr>
          <w:rFonts w:ascii="Arial" w:hAnsi="Arial" w:cs="Arial"/>
          <w:color w:val="000000"/>
          <w:sz w:val="24"/>
          <w:szCs w:val="24"/>
        </w:rPr>
        <w:t xml:space="preserve">ennium by a small number (-1). </w:t>
      </w:r>
      <w:r>
        <w:rPr>
          <w:rFonts w:ascii="Arial" w:hAnsi="Arial" w:cs="Arial"/>
          <w:color w:val="000000"/>
          <w:sz w:val="24"/>
          <w:szCs w:val="24"/>
        </w:rPr>
        <w:t xml:space="preserve">However, RBC </w:t>
      </w:r>
      <w:r w:rsidRPr="008E4C05">
        <w:rPr>
          <w:rFonts w:ascii="Arial" w:hAnsi="Arial" w:cs="Arial"/>
          <w:color w:val="000000"/>
          <w:sz w:val="24"/>
          <w:szCs w:val="24"/>
        </w:rPr>
        <w:t>has been and is committed to serving</w:t>
      </w:r>
      <w:r w:rsidR="004B5F35">
        <w:rPr>
          <w:rFonts w:ascii="Arial" w:hAnsi="Arial" w:cs="Arial"/>
          <w:color w:val="000000"/>
          <w:sz w:val="24"/>
          <w:szCs w:val="24"/>
        </w:rPr>
        <w:t xml:space="preserve"> underrepresented populations. </w:t>
      </w:r>
      <w:r w:rsidRPr="008E4C05">
        <w:rPr>
          <w:rFonts w:ascii="Arial" w:hAnsi="Arial" w:cs="Arial"/>
          <w:color w:val="000000"/>
          <w:sz w:val="24"/>
          <w:szCs w:val="24"/>
        </w:rPr>
        <w:t xml:space="preserve">Underrepresented students have continuously comprised a large majority of </w:t>
      </w:r>
      <w:r w:rsidR="00F73FB1">
        <w:rPr>
          <w:rFonts w:ascii="Arial" w:hAnsi="Arial" w:cs="Arial"/>
          <w:color w:val="000000"/>
          <w:sz w:val="24"/>
          <w:szCs w:val="24"/>
        </w:rPr>
        <w:t>RBC’s</w:t>
      </w:r>
      <w:r w:rsidRPr="008E4C05">
        <w:rPr>
          <w:rFonts w:ascii="Arial" w:hAnsi="Arial" w:cs="Arial"/>
          <w:color w:val="000000"/>
          <w:sz w:val="24"/>
          <w:szCs w:val="24"/>
        </w:rPr>
        <w:t xml:space="preserve"> graduating classes. </w:t>
      </w:r>
      <w:r w:rsidR="006E09D8">
        <w:rPr>
          <w:rFonts w:ascii="Arial" w:hAnsi="Arial" w:cs="Arial"/>
          <w:color w:val="000000"/>
          <w:sz w:val="24"/>
          <w:szCs w:val="24"/>
        </w:rPr>
        <w:t>F</w:t>
      </w:r>
      <w:r w:rsidRPr="008E4C05">
        <w:rPr>
          <w:rFonts w:ascii="Arial" w:hAnsi="Arial" w:cs="Arial"/>
          <w:color w:val="000000"/>
          <w:sz w:val="24"/>
          <w:szCs w:val="24"/>
        </w:rPr>
        <w:t xml:space="preserve">rom 2012-13 </w:t>
      </w:r>
      <w:r w:rsidR="006E09D8">
        <w:rPr>
          <w:rFonts w:ascii="Arial" w:hAnsi="Arial" w:cs="Arial"/>
          <w:color w:val="000000"/>
          <w:sz w:val="24"/>
          <w:szCs w:val="24"/>
        </w:rPr>
        <w:t>forward</w:t>
      </w:r>
      <w:r w:rsidRPr="008E4C05">
        <w:rPr>
          <w:rFonts w:ascii="Arial" w:hAnsi="Arial" w:cs="Arial"/>
          <w:color w:val="000000"/>
          <w:sz w:val="24"/>
          <w:szCs w:val="24"/>
        </w:rPr>
        <w:t xml:space="preserve">, underrepresented students have comprised between 75% - 92% of </w:t>
      </w:r>
      <w:r w:rsidR="006E09D8">
        <w:rPr>
          <w:rFonts w:ascii="Arial" w:hAnsi="Arial" w:cs="Arial"/>
          <w:color w:val="000000"/>
          <w:sz w:val="24"/>
          <w:szCs w:val="24"/>
        </w:rPr>
        <w:t>RBC’s</w:t>
      </w:r>
      <w:r w:rsidRPr="008E4C05">
        <w:rPr>
          <w:rFonts w:ascii="Arial" w:hAnsi="Arial" w:cs="Arial"/>
          <w:color w:val="000000"/>
          <w:sz w:val="24"/>
          <w:szCs w:val="24"/>
        </w:rPr>
        <w:t xml:space="preserve"> graduating classes.  </w:t>
      </w:r>
    </w:p>
    <w:p w:rsidR="00A0515A" w:rsidRDefault="006E09D8"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It should be noted that </w:t>
      </w:r>
      <w:r w:rsidR="00504F36">
        <w:rPr>
          <w:rFonts w:ascii="Arial" w:hAnsi="Arial" w:cs="Arial"/>
          <w:color w:val="000000"/>
          <w:sz w:val="24"/>
          <w:szCs w:val="24"/>
        </w:rPr>
        <w:t>RBC contends that w</w:t>
      </w:r>
      <w:r w:rsidR="00504F36" w:rsidRPr="00504F36">
        <w:rPr>
          <w:rFonts w:ascii="Arial" w:hAnsi="Arial" w:cs="Arial"/>
          <w:color w:val="000000"/>
          <w:sz w:val="24"/>
          <w:szCs w:val="24"/>
        </w:rPr>
        <w:t xml:space="preserve">hen comparing small </w:t>
      </w:r>
      <w:r w:rsidR="00504F36">
        <w:rPr>
          <w:rFonts w:ascii="Arial" w:hAnsi="Arial" w:cs="Arial"/>
          <w:color w:val="000000"/>
          <w:sz w:val="24"/>
          <w:szCs w:val="24"/>
        </w:rPr>
        <w:t xml:space="preserve">institutions, such as RBC, </w:t>
      </w:r>
      <w:r w:rsidR="00504F36" w:rsidRPr="00504F36">
        <w:rPr>
          <w:rFonts w:ascii="Arial" w:hAnsi="Arial" w:cs="Arial"/>
          <w:color w:val="000000"/>
          <w:sz w:val="24"/>
          <w:szCs w:val="24"/>
        </w:rPr>
        <w:t>and large institutions by a uniform 95% standard, the percentage calculation is only one of the factors that should be considered, keeping in mind that 5% of a small number is, in absolute terms, a small number, while 5% applied to a large number is, in absolute terms</w:t>
      </w:r>
      <w:r w:rsidR="004B5F35">
        <w:rPr>
          <w:rFonts w:ascii="Arial" w:hAnsi="Arial" w:cs="Arial"/>
          <w:color w:val="000000"/>
          <w:sz w:val="24"/>
          <w:szCs w:val="24"/>
        </w:rPr>
        <w:t xml:space="preserve">, a large number. </w:t>
      </w:r>
      <w:r w:rsidR="00504F36">
        <w:rPr>
          <w:rFonts w:ascii="Arial" w:hAnsi="Arial" w:cs="Arial"/>
          <w:color w:val="000000"/>
          <w:sz w:val="24"/>
          <w:szCs w:val="24"/>
        </w:rPr>
        <w:t>RBC believes</w:t>
      </w:r>
      <w:r w:rsidR="00504F36" w:rsidRPr="00504F36">
        <w:rPr>
          <w:rFonts w:ascii="Arial" w:hAnsi="Arial" w:cs="Arial"/>
          <w:color w:val="000000"/>
          <w:sz w:val="24"/>
          <w:szCs w:val="24"/>
        </w:rPr>
        <w:t xml:space="preserve"> that caution must be </w:t>
      </w:r>
      <w:r w:rsidR="00504F36">
        <w:rPr>
          <w:rFonts w:ascii="Arial" w:hAnsi="Arial" w:cs="Arial"/>
          <w:color w:val="000000"/>
          <w:sz w:val="24"/>
          <w:szCs w:val="24"/>
        </w:rPr>
        <w:t>exercised</w:t>
      </w:r>
      <w:r w:rsidR="00504F36" w:rsidRPr="00504F36">
        <w:rPr>
          <w:rFonts w:ascii="Arial" w:hAnsi="Arial" w:cs="Arial"/>
          <w:color w:val="000000"/>
          <w:sz w:val="24"/>
          <w:szCs w:val="24"/>
        </w:rPr>
        <w:t xml:space="preserve"> when using a uniform percentage standard to compare populations of diverse sizes</w:t>
      </w:r>
      <w:r w:rsidR="00504F36">
        <w:rPr>
          <w:rFonts w:ascii="Arial" w:hAnsi="Arial" w:cs="Arial"/>
          <w:color w:val="000000"/>
          <w:sz w:val="24"/>
          <w:szCs w:val="24"/>
        </w:rPr>
        <w:t xml:space="preserve"> and that for </w:t>
      </w:r>
      <w:r w:rsidR="00504F36" w:rsidRPr="00504F36">
        <w:rPr>
          <w:rFonts w:ascii="Arial" w:hAnsi="Arial" w:cs="Arial"/>
          <w:color w:val="000000"/>
          <w:sz w:val="24"/>
          <w:szCs w:val="24"/>
        </w:rPr>
        <w:t xml:space="preserve"> small institutions, absolute numbers should also be taken into account as their impact on state statistics overall will be relatively small.  </w:t>
      </w:r>
      <w:r w:rsidR="00504F36">
        <w:rPr>
          <w:rFonts w:ascii="Arial" w:hAnsi="Arial" w:cs="Arial"/>
          <w:color w:val="000000"/>
          <w:sz w:val="24"/>
          <w:szCs w:val="24"/>
        </w:rPr>
        <w:t xml:space="preserve"> </w:t>
      </w:r>
    </w:p>
    <w:p w:rsidR="006E09D8" w:rsidRPr="006E09D8" w:rsidRDefault="006E09D8" w:rsidP="00F64D39">
      <w:pPr>
        <w:spacing w:before="100" w:beforeAutospacing="1" w:after="100" w:afterAutospacing="1"/>
        <w:jc w:val="both"/>
        <w:rPr>
          <w:rFonts w:ascii="Arial" w:hAnsi="Arial" w:cs="Arial"/>
          <w:b/>
          <w:color w:val="000000"/>
          <w:sz w:val="24"/>
          <w:szCs w:val="24"/>
        </w:rPr>
      </w:pPr>
      <w:r w:rsidRPr="006E09D8">
        <w:rPr>
          <w:rFonts w:ascii="Arial" w:hAnsi="Arial" w:cs="Arial"/>
          <w:b/>
          <w:color w:val="000000"/>
          <w:sz w:val="24"/>
          <w:szCs w:val="24"/>
        </w:rPr>
        <w:t>Current Status and Efforts Underway</w:t>
      </w:r>
    </w:p>
    <w:p w:rsidR="00B37CB3" w:rsidRDefault="00B37CB3" w:rsidP="00F64D3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RBC has the following efforts underway to improve its performance on these measures</w:t>
      </w:r>
      <w:r w:rsidR="00F64D39">
        <w:rPr>
          <w:rFonts w:ascii="Arial" w:hAnsi="Arial" w:cs="Arial"/>
          <w:color w:val="000000"/>
          <w:sz w:val="24"/>
          <w:szCs w:val="24"/>
        </w:rPr>
        <w:t>:</w:t>
      </w:r>
    </w:p>
    <w:p w:rsidR="006E09D8" w:rsidRPr="00F64D39" w:rsidRDefault="00F64D39" w:rsidP="00F64D39">
      <w:pPr>
        <w:pStyle w:val="ListParagraph"/>
        <w:numPr>
          <w:ilvl w:val="0"/>
          <w:numId w:val="17"/>
        </w:numPr>
        <w:spacing w:before="100" w:beforeAutospacing="1" w:after="100" w:afterAutospacing="1"/>
        <w:jc w:val="both"/>
        <w:rPr>
          <w:rFonts w:ascii="Arial" w:hAnsi="Arial" w:cs="Arial"/>
          <w:color w:val="000000"/>
          <w:sz w:val="24"/>
          <w:szCs w:val="24"/>
        </w:rPr>
      </w:pPr>
      <w:r w:rsidRPr="00F64D39">
        <w:rPr>
          <w:rFonts w:ascii="Arial" w:hAnsi="Arial" w:cs="Arial"/>
          <w:color w:val="000000"/>
          <w:sz w:val="24"/>
          <w:szCs w:val="24"/>
        </w:rPr>
        <w:t>RBC</w:t>
      </w:r>
      <w:r w:rsidR="00B37CB3" w:rsidRPr="00F64D39">
        <w:rPr>
          <w:rFonts w:ascii="Arial" w:hAnsi="Arial" w:cs="Arial"/>
          <w:color w:val="000000"/>
          <w:sz w:val="24"/>
          <w:szCs w:val="24"/>
        </w:rPr>
        <w:t xml:space="preserve"> will be more conservative on future enrollment and degree projections.  Indeed, </w:t>
      </w:r>
      <w:r w:rsidRPr="00F64D39">
        <w:rPr>
          <w:rFonts w:ascii="Arial" w:hAnsi="Arial" w:cs="Arial"/>
          <w:color w:val="000000"/>
          <w:sz w:val="24"/>
          <w:szCs w:val="24"/>
        </w:rPr>
        <w:t>it</w:t>
      </w:r>
      <w:r w:rsidR="00B37CB3" w:rsidRPr="00F64D39">
        <w:rPr>
          <w:rFonts w:ascii="Arial" w:hAnsi="Arial" w:cs="Arial"/>
          <w:color w:val="000000"/>
          <w:sz w:val="24"/>
          <w:szCs w:val="24"/>
        </w:rPr>
        <w:t xml:space="preserve"> was already more conservative </w:t>
      </w:r>
      <w:r w:rsidR="000316FB" w:rsidRPr="00F64D39">
        <w:rPr>
          <w:rFonts w:ascii="Arial" w:hAnsi="Arial" w:cs="Arial"/>
          <w:color w:val="000000"/>
          <w:sz w:val="24"/>
          <w:szCs w:val="24"/>
        </w:rPr>
        <w:t>with</w:t>
      </w:r>
      <w:r w:rsidR="00B37CB3" w:rsidRPr="00F64D39">
        <w:rPr>
          <w:rFonts w:ascii="Arial" w:hAnsi="Arial" w:cs="Arial"/>
          <w:color w:val="000000"/>
          <w:sz w:val="24"/>
          <w:szCs w:val="24"/>
        </w:rPr>
        <w:t xml:space="preserve"> its 2017 projections</w:t>
      </w:r>
      <w:r w:rsidR="000316FB" w:rsidRPr="00F64D39">
        <w:rPr>
          <w:rFonts w:ascii="Arial" w:hAnsi="Arial" w:cs="Arial"/>
          <w:color w:val="000000"/>
          <w:sz w:val="24"/>
          <w:szCs w:val="24"/>
        </w:rPr>
        <w:t>.</w:t>
      </w:r>
    </w:p>
    <w:p w:rsidR="000316FB" w:rsidRPr="00F64D39" w:rsidRDefault="000316FB" w:rsidP="00F64D39">
      <w:pPr>
        <w:pStyle w:val="ListParagraph"/>
        <w:numPr>
          <w:ilvl w:val="0"/>
          <w:numId w:val="17"/>
        </w:numPr>
        <w:spacing w:before="100" w:beforeAutospacing="1" w:after="100" w:afterAutospacing="1"/>
        <w:jc w:val="both"/>
        <w:rPr>
          <w:rFonts w:ascii="Arial" w:hAnsi="Arial" w:cs="Arial"/>
          <w:color w:val="000000"/>
          <w:sz w:val="24"/>
          <w:szCs w:val="24"/>
        </w:rPr>
      </w:pPr>
      <w:r w:rsidRPr="00F64D39">
        <w:rPr>
          <w:rFonts w:ascii="Arial" w:hAnsi="Arial" w:cs="Arial"/>
          <w:color w:val="000000"/>
          <w:sz w:val="24"/>
          <w:szCs w:val="24"/>
        </w:rPr>
        <w:t>Enrollment services will implement a first response team that will work with and monitor the learner mentors when students are identified as being at-risk for dropping out.</w:t>
      </w:r>
    </w:p>
    <w:p w:rsidR="000316FB" w:rsidRPr="00F64D39" w:rsidRDefault="000316FB" w:rsidP="00F64D39">
      <w:pPr>
        <w:pStyle w:val="ListParagraph"/>
        <w:numPr>
          <w:ilvl w:val="0"/>
          <w:numId w:val="17"/>
        </w:numPr>
        <w:spacing w:before="100" w:beforeAutospacing="1" w:after="100" w:afterAutospacing="1"/>
        <w:jc w:val="both"/>
        <w:rPr>
          <w:rFonts w:ascii="Arial" w:hAnsi="Arial" w:cs="Arial"/>
          <w:color w:val="000000"/>
          <w:sz w:val="24"/>
          <w:szCs w:val="24"/>
        </w:rPr>
      </w:pPr>
      <w:r w:rsidRPr="00F64D39">
        <w:rPr>
          <w:rFonts w:ascii="Arial" w:hAnsi="Arial" w:cs="Arial"/>
          <w:color w:val="000000"/>
          <w:sz w:val="24"/>
          <w:szCs w:val="24"/>
        </w:rPr>
        <w:t>Faculty will be engaged in the ESE@RBC advising protocols to ensure that students are getting the appropriate expertise about the curriculum during the advising process.</w:t>
      </w:r>
    </w:p>
    <w:p w:rsidR="000316FB" w:rsidRPr="00F64D39" w:rsidRDefault="000316FB" w:rsidP="00F64D39">
      <w:pPr>
        <w:pStyle w:val="ListParagraph"/>
        <w:numPr>
          <w:ilvl w:val="0"/>
          <w:numId w:val="17"/>
        </w:numPr>
        <w:spacing w:before="100" w:beforeAutospacing="1" w:after="100" w:afterAutospacing="1"/>
        <w:jc w:val="both"/>
        <w:rPr>
          <w:rFonts w:ascii="Arial" w:hAnsi="Arial" w:cs="Arial"/>
          <w:color w:val="000000"/>
          <w:sz w:val="24"/>
          <w:szCs w:val="24"/>
        </w:rPr>
      </w:pPr>
      <w:r w:rsidRPr="00F64D39">
        <w:rPr>
          <w:rFonts w:ascii="Arial" w:hAnsi="Arial" w:cs="Arial"/>
          <w:color w:val="000000"/>
          <w:sz w:val="24"/>
          <w:szCs w:val="24"/>
        </w:rPr>
        <w:t>A graduation/transfer fair will be developed to include appropriate offices around campus to assist students with transfer and graduation requirements.</w:t>
      </w:r>
    </w:p>
    <w:p w:rsidR="000316FB" w:rsidRPr="000316FB" w:rsidRDefault="000316FB" w:rsidP="00F64D39">
      <w:pPr>
        <w:spacing w:before="100" w:beforeAutospacing="1" w:after="100" w:afterAutospacing="1"/>
        <w:jc w:val="both"/>
        <w:rPr>
          <w:rFonts w:ascii="Arial" w:hAnsi="Arial" w:cs="Arial"/>
          <w:b/>
          <w:color w:val="000000"/>
          <w:sz w:val="24"/>
          <w:szCs w:val="24"/>
        </w:rPr>
      </w:pPr>
      <w:r w:rsidRPr="000316FB">
        <w:rPr>
          <w:rFonts w:ascii="Arial" w:hAnsi="Arial" w:cs="Arial"/>
          <w:b/>
          <w:color w:val="000000"/>
          <w:sz w:val="24"/>
          <w:szCs w:val="24"/>
        </w:rPr>
        <w:t>Follow-</w:t>
      </w:r>
      <w:r>
        <w:rPr>
          <w:rFonts w:ascii="Arial" w:hAnsi="Arial" w:cs="Arial"/>
          <w:b/>
          <w:color w:val="000000"/>
          <w:sz w:val="24"/>
          <w:szCs w:val="24"/>
        </w:rPr>
        <w:t>u</w:t>
      </w:r>
      <w:r w:rsidRPr="000316FB">
        <w:rPr>
          <w:rFonts w:ascii="Arial" w:hAnsi="Arial" w:cs="Arial"/>
          <w:b/>
          <w:color w:val="000000"/>
          <w:sz w:val="24"/>
          <w:szCs w:val="24"/>
        </w:rPr>
        <w:t>p Plan</w:t>
      </w:r>
    </w:p>
    <w:p w:rsidR="000316FB" w:rsidRDefault="000316FB" w:rsidP="00045411">
      <w:pPr>
        <w:spacing w:before="100" w:beforeAutospacing="1" w:after="100" w:afterAutospacing="1"/>
        <w:jc w:val="both"/>
        <w:rPr>
          <w:rFonts w:ascii="Arial" w:hAnsi="Arial" w:cs="Arial"/>
          <w:color w:val="000000"/>
          <w:sz w:val="24"/>
          <w:szCs w:val="24"/>
        </w:rPr>
      </w:pPr>
      <w:r w:rsidRPr="000316FB">
        <w:rPr>
          <w:rFonts w:ascii="Arial" w:hAnsi="Arial" w:cs="Arial"/>
          <w:color w:val="000000"/>
          <w:sz w:val="24"/>
          <w:szCs w:val="24"/>
        </w:rPr>
        <w:t xml:space="preserve">SCHEV staff will provide assistance as needed to </w:t>
      </w:r>
      <w:r>
        <w:rPr>
          <w:rFonts w:ascii="Arial" w:hAnsi="Arial" w:cs="Arial"/>
          <w:color w:val="000000"/>
          <w:sz w:val="24"/>
          <w:szCs w:val="24"/>
        </w:rPr>
        <w:t>RBC</w:t>
      </w:r>
      <w:r w:rsidRPr="000316FB">
        <w:rPr>
          <w:rFonts w:ascii="Arial" w:hAnsi="Arial" w:cs="Arial"/>
          <w:color w:val="000000"/>
          <w:sz w:val="24"/>
          <w:szCs w:val="24"/>
        </w:rPr>
        <w:t>.  An interim review will be performed in the summer of 2019 to determine if progress is being made.</w:t>
      </w:r>
      <w:r w:rsidR="00045411">
        <w:rPr>
          <w:rFonts w:ascii="Arial" w:hAnsi="Arial" w:cs="Arial"/>
          <w:color w:val="000000"/>
          <w:sz w:val="24"/>
          <w:szCs w:val="24"/>
        </w:rPr>
        <w:t xml:space="preserve"> </w:t>
      </w:r>
    </w:p>
    <w:p w:rsidR="00504F36" w:rsidRDefault="00504F36" w:rsidP="00F64D39">
      <w:pPr>
        <w:spacing w:before="100" w:beforeAutospacing="1" w:after="100" w:afterAutospacing="1"/>
        <w:jc w:val="both"/>
        <w:rPr>
          <w:rFonts w:ascii="Arial" w:hAnsi="Arial" w:cs="Arial"/>
          <w:color w:val="000000"/>
          <w:sz w:val="24"/>
          <w:szCs w:val="24"/>
        </w:rPr>
      </w:pPr>
    </w:p>
    <w:p w:rsidR="00A0515A" w:rsidRPr="00A0515A" w:rsidRDefault="00A0515A" w:rsidP="00A0515A">
      <w:pPr>
        <w:spacing w:before="100" w:beforeAutospacing="1" w:after="100" w:afterAutospacing="1"/>
        <w:jc w:val="both"/>
        <w:rPr>
          <w:rFonts w:ascii="Arial" w:hAnsi="Arial" w:cs="Arial"/>
          <w:color w:val="000000"/>
          <w:sz w:val="24"/>
          <w:szCs w:val="24"/>
        </w:rPr>
      </w:pPr>
    </w:p>
    <w:p w:rsidR="007958C1" w:rsidRDefault="007958C1" w:rsidP="00DD2188">
      <w:pPr>
        <w:spacing w:before="100" w:beforeAutospacing="1" w:after="100" w:afterAutospacing="1"/>
        <w:jc w:val="both"/>
        <w:rPr>
          <w:rFonts w:ascii="Arial" w:hAnsi="Arial" w:cs="Arial"/>
          <w:color w:val="000000"/>
          <w:sz w:val="24"/>
          <w:szCs w:val="24"/>
        </w:rPr>
      </w:pPr>
    </w:p>
    <w:p w:rsidR="007958C1" w:rsidRDefault="007958C1" w:rsidP="00DD2188">
      <w:pPr>
        <w:spacing w:before="100" w:beforeAutospacing="1" w:after="100" w:afterAutospacing="1"/>
        <w:jc w:val="both"/>
        <w:rPr>
          <w:rFonts w:ascii="Arial" w:hAnsi="Arial" w:cs="Arial"/>
          <w:color w:val="000000"/>
          <w:sz w:val="24"/>
          <w:szCs w:val="24"/>
        </w:rPr>
      </w:pPr>
    </w:p>
    <w:p w:rsidR="00C62696" w:rsidRDefault="00C62696">
      <w:pPr>
        <w:rPr>
          <w:rFonts w:ascii="Arial" w:hAnsi="Arial" w:cs="Arial"/>
          <w:color w:val="000000"/>
          <w:sz w:val="24"/>
          <w:szCs w:val="24"/>
        </w:rPr>
      </w:pPr>
      <w:r>
        <w:rPr>
          <w:rFonts w:ascii="Arial" w:hAnsi="Arial" w:cs="Arial"/>
          <w:color w:val="000000"/>
          <w:sz w:val="24"/>
          <w:szCs w:val="24"/>
        </w:rPr>
        <w:br w:type="page"/>
      </w:r>
    </w:p>
    <w:p w:rsidR="00881321" w:rsidRDefault="00881321" w:rsidP="00881321">
      <w:pPr>
        <w:spacing w:before="100" w:beforeAutospacing="1" w:after="100" w:afterAutospacing="1"/>
        <w:rPr>
          <w:rFonts w:ascii="Arial" w:hAnsi="Arial" w:cs="Arial"/>
          <w:color w:val="000000"/>
          <w:sz w:val="28"/>
          <w:szCs w:val="28"/>
        </w:rPr>
        <w:sectPr w:rsidR="00881321" w:rsidSect="004B5F35">
          <w:footerReference w:type="default" r:id="rId24"/>
          <w:pgSz w:w="12240" w:h="15840" w:code="1"/>
          <w:pgMar w:top="1296" w:right="1296" w:bottom="720" w:left="1800" w:header="1440" w:footer="720" w:gutter="0"/>
          <w:pgNumType w:start="4"/>
          <w:cols w:space="720"/>
          <w:noEndnote/>
          <w:docGrid w:linePitch="272"/>
        </w:sectPr>
      </w:pPr>
    </w:p>
    <w:p w:rsidR="00C62696" w:rsidRPr="000316FB" w:rsidRDefault="000316FB" w:rsidP="00881321">
      <w:pPr>
        <w:spacing w:before="100" w:beforeAutospacing="1" w:after="100" w:afterAutospacing="1"/>
        <w:rPr>
          <w:rFonts w:ascii="Arial" w:hAnsi="Arial" w:cs="Arial"/>
          <w:color w:val="000000"/>
          <w:sz w:val="28"/>
          <w:szCs w:val="28"/>
        </w:rPr>
      </w:pPr>
      <w:r w:rsidRPr="000316FB">
        <w:rPr>
          <w:rFonts w:ascii="Arial" w:hAnsi="Arial" w:cs="Arial"/>
          <w:color w:val="000000"/>
          <w:sz w:val="28"/>
          <w:szCs w:val="28"/>
        </w:rPr>
        <w:t>APPENDIX F</w:t>
      </w:r>
    </w:p>
    <w:p w:rsidR="000316FB" w:rsidRDefault="000C5A90" w:rsidP="000316FB">
      <w:pPr>
        <w:spacing w:before="100" w:beforeAutospacing="1" w:after="100" w:afterAutospacing="1"/>
        <w:rPr>
          <w:rFonts w:ascii="Arial" w:hAnsi="Arial" w:cs="Arial"/>
          <w:color w:val="000000"/>
          <w:sz w:val="24"/>
          <w:szCs w:val="24"/>
        </w:rPr>
      </w:pPr>
      <w:r>
        <w:rPr>
          <w:rFonts w:ascii="Arial" w:hAnsi="Arial" w:cs="Arial"/>
          <w:color w:val="000000"/>
          <w:sz w:val="24"/>
          <w:szCs w:val="24"/>
        </w:rPr>
        <w:t>RESULTS OF THE REVIEW OF THE FINANCIAL AND ADMINISTRATIVE STANDARDS FOR LEVEL THREE INSTITUTIONS</w:t>
      </w:r>
    </w:p>
    <w:p w:rsidR="000C5A90" w:rsidRDefault="000C5A90" w:rsidP="000316FB">
      <w:pPr>
        <w:spacing w:before="100" w:beforeAutospacing="1" w:after="100" w:afterAutospacing="1"/>
        <w:rPr>
          <w:rFonts w:ascii="Arial" w:hAnsi="Arial" w:cs="Arial"/>
          <w:color w:val="000000"/>
          <w:sz w:val="24"/>
          <w:szCs w:val="24"/>
        </w:rPr>
      </w:pPr>
    </w:p>
    <w:p w:rsidR="000C5A90" w:rsidRDefault="000C5A90" w:rsidP="000316FB">
      <w:pPr>
        <w:spacing w:before="100" w:beforeAutospacing="1" w:after="100" w:afterAutospacing="1"/>
        <w:rPr>
          <w:rFonts w:ascii="Arial" w:hAnsi="Arial" w:cs="Arial"/>
          <w:color w:val="000000"/>
          <w:sz w:val="24"/>
          <w:szCs w:val="24"/>
        </w:rPr>
      </w:pPr>
    </w:p>
    <w:p w:rsidR="00C62696" w:rsidRDefault="00C62696">
      <w:pPr>
        <w:rPr>
          <w:rFonts w:ascii="Arial" w:hAnsi="Arial" w:cs="Arial"/>
          <w:color w:val="000000"/>
          <w:sz w:val="24"/>
          <w:szCs w:val="24"/>
        </w:rPr>
      </w:pPr>
      <w:r>
        <w:rPr>
          <w:rFonts w:ascii="Arial" w:hAnsi="Arial" w:cs="Arial"/>
          <w:color w:val="000000"/>
          <w:sz w:val="24"/>
          <w:szCs w:val="24"/>
        </w:rPr>
        <w:br w:type="page"/>
      </w:r>
    </w:p>
    <w:p w:rsidR="00A17984" w:rsidRDefault="00A17984">
      <w:pPr>
        <w:rPr>
          <w:rFonts w:ascii="Arial" w:hAnsi="Arial" w:cs="Arial"/>
          <w:color w:val="000000"/>
          <w:sz w:val="24"/>
          <w:szCs w:val="24"/>
        </w:rPr>
        <w:sectPr w:rsidR="00A17984" w:rsidSect="00881321">
          <w:pgSz w:w="12240" w:h="15840" w:code="1"/>
          <w:pgMar w:top="1296" w:right="1296" w:bottom="720" w:left="1800" w:header="1440" w:footer="720" w:gutter="0"/>
          <w:pgNumType w:start="4"/>
          <w:cols w:space="720"/>
          <w:noEndnote/>
          <w:docGrid w:linePitch="272"/>
        </w:sectPr>
      </w:pPr>
    </w:p>
    <w:p w:rsidR="00A17984" w:rsidRDefault="00A17984">
      <w:pPr>
        <w:rPr>
          <w:rFonts w:ascii="Arial" w:hAnsi="Arial" w:cs="Arial"/>
          <w:color w:val="000000"/>
          <w:sz w:val="24"/>
          <w:szCs w:val="24"/>
        </w:rPr>
      </w:pPr>
      <w:r w:rsidRPr="00A17984">
        <w:rPr>
          <w:noProof/>
        </w:rPr>
        <w:drawing>
          <wp:inline distT="0" distB="0" distL="0" distR="0" wp14:anchorId="5220672F" wp14:editId="402351F0">
            <wp:extent cx="8778240" cy="6219758"/>
            <wp:effectExtent l="0" t="0" r="3810" b="0"/>
            <wp:docPr id="2" name="Picture 2" descr="This table provides the results for the Financial and Administrative Standards by standard and institution." title="Assessment of Institutional Performance - Financial and Administrative Standards for Level Three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78240" cy="6219758"/>
                    </a:xfrm>
                    <a:prstGeom prst="rect">
                      <a:avLst/>
                    </a:prstGeom>
                    <a:noFill/>
                    <a:ln>
                      <a:noFill/>
                    </a:ln>
                  </pic:spPr>
                </pic:pic>
              </a:graphicData>
            </a:graphic>
          </wp:inline>
        </w:drawing>
      </w:r>
    </w:p>
    <w:p w:rsidR="00A17984" w:rsidRDefault="00A17984">
      <w:pPr>
        <w:rPr>
          <w:rFonts w:ascii="Arial" w:hAnsi="Arial" w:cs="Arial"/>
          <w:color w:val="000000"/>
          <w:sz w:val="24"/>
          <w:szCs w:val="24"/>
        </w:rPr>
      </w:pPr>
    </w:p>
    <w:p w:rsidR="00A17984" w:rsidRDefault="00A17984">
      <w:pPr>
        <w:rPr>
          <w:rFonts w:ascii="Arial" w:hAnsi="Arial" w:cs="Arial"/>
          <w:color w:val="000000"/>
          <w:sz w:val="24"/>
          <w:szCs w:val="24"/>
        </w:rPr>
      </w:pPr>
    </w:p>
    <w:p w:rsidR="00A17984" w:rsidRDefault="00A17984">
      <w:pPr>
        <w:rPr>
          <w:rFonts w:ascii="Arial" w:hAnsi="Arial" w:cs="Arial"/>
          <w:color w:val="000000"/>
          <w:sz w:val="24"/>
          <w:szCs w:val="24"/>
        </w:rPr>
      </w:pPr>
      <w:r w:rsidRPr="00A17984">
        <w:rPr>
          <w:noProof/>
        </w:rPr>
        <w:drawing>
          <wp:inline distT="0" distB="0" distL="0" distR="0">
            <wp:extent cx="9098280" cy="5433060"/>
            <wp:effectExtent l="0" t="0" r="7620" b="0"/>
            <wp:docPr id="4" name="Picture 4" descr="This table is a continuation of the table above.  It shows the results for the Financial and Administrative Standards for Level Three institutions by standard." title="Assessment of Institutional Performance - Financial and Administrative Standards for Level Three Institutions 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98280" cy="5433060"/>
                    </a:xfrm>
                    <a:prstGeom prst="rect">
                      <a:avLst/>
                    </a:prstGeom>
                    <a:noFill/>
                    <a:ln>
                      <a:noFill/>
                    </a:ln>
                  </pic:spPr>
                </pic:pic>
              </a:graphicData>
            </a:graphic>
          </wp:inline>
        </w:drawing>
      </w:r>
      <w:r>
        <w:rPr>
          <w:rFonts w:ascii="Arial" w:hAnsi="Arial" w:cs="Arial"/>
          <w:color w:val="000000"/>
          <w:sz w:val="24"/>
          <w:szCs w:val="24"/>
        </w:rPr>
        <w:br w:type="page"/>
      </w:r>
    </w:p>
    <w:p w:rsidR="00881321" w:rsidRDefault="00A17984">
      <w:pPr>
        <w:rPr>
          <w:rFonts w:ascii="Arial" w:hAnsi="Arial" w:cs="Arial"/>
          <w:color w:val="000000"/>
          <w:sz w:val="24"/>
          <w:szCs w:val="24"/>
        </w:rPr>
      </w:pPr>
      <w:r w:rsidRPr="00A17984">
        <w:rPr>
          <w:noProof/>
        </w:rPr>
        <w:drawing>
          <wp:inline distT="0" distB="0" distL="0" distR="0">
            <wp:extent cx="9098280" cy="2834640"/>
            <wp:effectExtent l="0" t="0" r="7620" b="3810"/>
            <wp:docPr id="5" name="Picture 5" descr="This table is a continuation of the two tables above.  It shows the results for the Fianncial and Admisnitrative Standards for the Level Three Institutions by standard." title="Assessment of Institutional Performance - Financial and Administrative Standards for Level Three Institutions 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98280" cy="2834640"/>
                    </a:xfrm>
                    <a:prstGeom prst="rect">
                      <a:avLst/>
                    </a:prstGeom>
                    <a:noFill/>
                    <a:ln>
                      <a:noFill/>
                    </a:ln>
                  </pic:spPr>
                </pic:pic>
              </a:graphicData>
            </a:graphic>
          </wp:inline>
        </w:drawing>
      </w:r>
      <w:r w:rsidR="00881321">
        <w:rPr>
          <w:rFonts w:ascii="Arial" w:hAnsi="Arial" w:cs="Arial"/>
          <w:color w:val="000000"/>
          <w:sz w:val="24"/>
          <w:szCs w:val="24"/>
        </w:rPr>
        <w:br w:type="page"/>
      </w:r>
    </w:p>
    <w:p w:rsidR="005F3760" w:rsidRDefault="005F3760" w:rsidP="005F3760">
      <w:pPr>
        <w:spacing w:before="100" w:beforeAutospacing="1" w:after="100" w:afterAutospacing="1"/>
        <w:rPr>
          <w:rFonts w:ascii="Arial" w:hAnsi="Arial" w:cs="Arial"/>
          <w:color w:val="000000"/>
          <w:sz w:val="28"/>
          <w:szCs w:val="28"/>
        </w:rPr>
        <w:sectPr w:rsidR="005F3760" w:rsidSect="00A17984">
          <w:pgSz w:w="15840" w:h="12240" w:orient="landscape" w:code="1"/>
          <w:pgMar w:top="720" w:right="720" w:bottom="720" w:left="720" w:header="1440" w:footer="720" w:gutter="0"/>
          <w:pgNumType w:start="4"/>
          <w:cols w:space="720"/>
          <w:noEndnote/>
          <w:docGrid w:linePitch="272"/>
        </w:sectPr>
      </w:pPr>
    </w:p>
    <w:p w:rsidR="00881321" w:rsidRPr="000316FB" w:rsidRDefault="00881321" w:rsidP="005F3760">
      <w:pPr>
        <w:spacing w:before="100" w:beforeAutospacing="1" w:after="100" w:afterAutospacing="1"/>
        <w:rPr>
          <w:rFonts w:ascii="Arial" w:hAnsi="Arial" w:cs="Arial"/>
          <w:color w:val="000000"/>
          <w:sz w:val="28"/>
          <w:szCs w:val="28"/>
        </w:rPr>
      </w:pPr>
      <w:r w:rsidRPr="000316FB">
        <w:rPr>
          <w:rFonts w:ascii="Arial" w:hAnsi="Arial" w:cs="Arial"/>
          <w:color w:val="000000"/>
          <w:sz w:val="28"/>
          <w:szCs w:val="28"/>
        </w:rPr>
        <w:t xml:space="preserve">APPENDIX </w:t>
      </w:r>
      <w:r>
        <w:rPr>
          <w:rFonts w:ascii="Arial" w:hAnsi="Arial" w:cs="Arial"/>
          <w:color w:val="000000"/>
          <w:sz w:val="28"/>
          <w:szCs w:val="28"/>
        </w:rPr>
        <w:t>G</w:t>
      </w:r>
    </w:p>
    <w:p w:rsidR="00881321" w:rsidRDefault="00881321" w:rsidP="00881321">
      <w:pPr>
        <w:spacing w:before="100" w:beforeAutospacing="1" w:after="100" w:afterAutospacing="1"/>
        <w:rPr>
          <w:rFonts w:ascii="Arial" w:hAnsi="Arial" w:cs="Arial"/>
          <w:color w:val="000000"/>
          <w:sz w:val="24"/>
          <w:szCs w:val="24"/>
        </w:rPr>
      </w:pPr>
      <w:r>
        <w:rPr>
          <w:rFonts w:ascii="Arial" w:hAnsi="Arial" w:cs="Arial"/>
          <w:color w:val="000000"/>
          <w:sz w:val="24"/>
          <w:szCs w:val="24"/>
        </w:rPr>
        <w:t>RESULTS OF THE REVIEW OF THE FINANCIAL AND ADMINISTRATIVE STANDARDS FOR LEVEL TWO AND LEVEL THREE INSTITUTIONS</w:t>
      </w:r>
    </w:p>
    <w:p w:rsidR="00881321" w:rsidRDefault="00881321" w:rsidP="00881321">
      <w:pPr>
        <w:spacing w:before="100" w:beforeAutospacing="1" w:after="100" w:afterAutospacing="1"/>
        <w:rPr>
          <w:rFonts w:ascii="Arial" w:hAnsi="Arial" w:cs="Arial"/>
          <w:color w:val="000000"/>
          <w:sz w:val="24"/>
          <w:szCs w:val="24"/>
        </w:rPr>
      </w:pPr>
    </w:p>
    <w:p w:rsidR="00C62696" w:rsidRDefault="00C62696" w:rsidP="00C62696">
      <w:pPr>
        <w:spacing w:before="100" w:beforeAutospacing="1" w:after="100" w:afterAutospacing="1"/>
        <w:ind w:left="720"/>
        <w:jc w:val="both"/>
        <w:rPr>
          <w:rFonts w:ascii="Arial" w:hAnsi="Arial" w:cs="Arial"/>
          <w:color w:val="000000"/>
          <w:sz w:val="24"/>
          <w:szCs w:val="24"/>
        </w:rPr>
      </w:pPr>
    </w:p>
    <w:p w:rsidR="00C62696" w:rsidRDefault="00C62696" w:rsidP="00C62696">
      <w:pPr>
        <w:spacing w:before="100" w:beforeAutospacing="1" w:after="100" w:afterAutospacing="1"/>
        <w:ind w:left="720"/>
        <w:jc w:val="both"/>
        <w:rPr>
          <w:rFonts w:ascii="Arial" w:hAnsi="Arial" w:cs="Arial"/>
          <w:color w:val="000000"/>
          <w:sz w:val="24"/>
          <w:szCs w:val="24"/>
        </w:rPr>
      </w:pPr>
    </w:p>
    <w:p w:rsidR="006A35EF" w:rsidRDefault="006A35EF">
      <w:pPr>
        <w:rPr>
          <w:rFonts w:ascii="Arial" w:hAnsi="Arial" w:cs="Arial"/>
          <w:color w:val="000000"/>
          <w:sz w:val="24"/>
          <w:szCs w:val="24"/>
        </w:rPr>
      </w:pPr>
      <w:r>
        <w:rPr>
          <w:rFonts w:ascii="Arial" w:hAnsi="Arial" w:cs="Arial"/>
          <w:color w:val="000000"/>
          <w:sz w:val="24"/>
          <w:szCs w:val="24"/>
        </w:rPr>
        <w:br w:type="page"/>
      </w:r>
    </w:p>
    <w:p w:rsidR="006A35EF" w:rsidRDefault="006A35EF" w:rsidP="006A35EF">
      <w:pPr>
        <w:spacing w:before="100" w:beforeAutospacing="1" w:after="100" w:afterAutospacing="1"/>
        <w:ind w:left="720"/>
        <w:jc w:val="both"/>
        <w:rPr>
          <w:rFonts w:ascii="Arial" w:hAnsi="Arial" w:cs="Arial"/>
          <w:color w:val="000000"/>
          <w:sz w:val="24"/>
          <w:szCs w:val="24"/>
        </w:rPr>
        <w:sectPr w:rsidR="006A35EF" w:rsidSect="004B5F35">
          <w:pgSz w:w="12240" w:h="15840" w:code="1"/>
          <w:pgMar w:top="1296" w:right="1296" w:bottom="720" w:left="1800" w:header="1440" w:footer="720" w:gutter="0"/>
          <w:pgNumType w:start="4"/>
          <w:cols w:space="720"/>
          <w:noEndnote/>
          <w:docGrid w:linePitch="272"/>
        </w:sectPr>
      </w:pPr>
    </w:p>
    <w:p w:rsidR="006A35EF" w:rsidRDefault="006A35EF" w:rsidP="006A35EF">
      <w:pPr>
        <w:spacing w:before="100" w:beforeAutospacing="1" w:after="100" w:afterAutospacing="1"/>
        <w:rPr>
          <w:rFonts w:ascii="Arial" w:hAnsi="Arial" w:cs="Arial"/>
          <w:color w:val="000000"/>
          <w:sz w:val="24"/>
          <w:szCs w:val="24"/>
        </w:rPr>
      </w:pPr>
    </w:p>
    <w:p w:rsidR="00864C86" w:rsidRDefault="006A35EF" w:rsidP="006A35EF">
      <w:pPr>
        <w:spacing w:before="100" w:beforeAutospacing="1" w:after="100" w:afterAutospacing="1"/>
        <w:rPr>
          <w:rFonts w:ascii="Arial" w:hAnsi="Arial" w:cs="Arial"/>
          <w:color w:val="000000"/>
          <w:sz w:val="24"/>
          <w:szCs w:val="24"/>
        </w:rPr>
      </w:pPr>
      <w:r w:rsidRPr="006A35EF">
        <w:rPr>
          <w:noProof/>
        </w:rPr>
        <w:drawing>
          <wp:inline distT="0" distB="0" distL="0" distR="0" wp14:anchorId="60C5DC19" wp14:editId="219992B6">
            <wp:extent cx="9144000" cy="4974988"/>
            <wp:effectExtent l="0" t="0" r="0" b="0"/>
            <wp:docPr id="10" name="Picture 10" descr="This table contains the results for the review of the Financial and Administrative Standards for Level 1 and Level 2 institutions by standard." title="Assessment of Institutional Performance - Financial and Administrative Standards for Levels 1 and 2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4974988"/>
                    </a:xfrm>
                    <a:prstGeom prst="rect">
                      <a:avLst/>
                    </a:prstGeom>
                    <a:noFill/>
                    <a:ln>
                      <a:noFill/>
                    </a:ln>
                  </pic:spPr>
                </pic:pic>
              </a:graphicData>
            </a:graphic>
          </wp:inline>
        </w:drawing>
      </w:r>
    </w:p>
    <w:p w:rsidR="00864C86" w:rsidRDefault="00864C86">
      <w:pPr>
        <w:rPr>
          <w:rFonts w:ascii="Arial" w:hAnsi="Arial" w:cs="Arial"/>
          <w:color w:val="000000"/>
          <w:sz w:val="24"/>
          <w:szCs w:val="24"/>
        </w:rPr>
      </w:pPr>
      <w:r>
        <w:rPr>
          <w:rFonts w:ascii="Arial" w:hAnsi="Arial" w:cs="Arial"/>
          <w:color w:val="000000"/>
          <w:sz w:val="24"/>
          <w:szCs w:val="24"/>
        </w:rPr>
        <w:br w:type="page"/>
      </w:r>
    </w:p>
    <w:p w:rsidR="00864C86" w:rsidRDefault="00864C86" w:rsidP="006A35EF">
      <w:pPr>
        <w:spacing w:before="100" w:beforeAutospacing="1" w:after="100" w:afterAutospacing="1"/>
        <w:rPr>
          <w:rFonts w:ascii="Arial" w:hAnsi="Arial" w:cs="Arial"/>
          <w:color w:val="000000"/>
          <w:sz w:val="24"/>
          <w:szCs w:val="24"/>
        </w:rPr>
        <w:sectPr w:rsidR="00864C86" w:rsidSect="006A35EF">
          <w:pgSz w:w="15840" w:h="12240" w:orient="landscape" w:code="1"/>
          <w:pgMar w:top="720" w:right="720" w:bottom="720" w:left="720" w:header="1440" w:footer="720" w:gutter="0"/>
          <w:pgNumType w:start="4"/>
          <w:cols w:space="720"/>
          <w:noEndnote/>
          <w:docGrid w:linePitch="272"/>
        </w:sectPr>
      </w:pPr>
    </w:p>
    <w:p w:rsidR="00864C86" w:rsidRPr="00DD2188" w:rsidRDefault="00864C86" w:rsidP="00864C86">
      <w:pPr>
        <w:spacing w:before="100" w:beforeAutospacing="1" w:after="100" w:afterAutospacing="1"/>
        <w:jc w:val="both"/>
        <w:rPr>
          <w:rFonts w:ascii="Arial" w:hAnsi="Arial" w:cs="Arial"/>
          <w:color w:val="000000"/>
          <w:sz w:val="28"/>
          <w:szCs w:val="28"/>
        </w:rPr>
      </w:pPr>
      <w:r w:rsidRPr="00DD2188">
        <w:rPr>
          <w:rFonts w:ascii="Arial" w:hAnsi="Arial" w:cs="Arial"/>
          <w:color w:val="000000"/>
          <w:sz w:val="28"/>
          <w:szCs w:val="28"/>
        </w:rPr>
        <w:t xml:space="preserve">APPENDIX </w:t>
      </w:r>
      <w:r w:rsidR="00E56B09">
        <w:rPr>
          <w:rFonts w:ascii="Arial" w:hAnsi="Arial" w:cs="Arial"/>
          <w:color w:val="000000"/>
          <w:sz w:val="28"/>
          <w:szCs w:val="28"/>
        </w:rPr>
        <w:t>H</w:t>
      </w:r>
      <w:r w:rsidRPr="00DD2188">
        <w:rPr>
          <w:rFonts w:ascii="Arial" w:hAnsi="Arial" w:cs="Arial"/>
          <w:color w:val="000000"/>
          <w:sz w:val="28"/>
          <w:szCs w:val="28"/>
        </w:rPr>
        <w:t xml:space="preserve"> </w:t>
      </w:r>
    </w:p>
    <w:p w:rsidR="00864C86" w:rsidRDefault="00DD0552" w:rsidP="00864C86">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COMMENTS</w:t>
      </w:r>
      <w:r w:rsidR="00864C86">
        <w:rPr>
          <w:rFonts w:ascii="Arial" w:hAnsi="Arial" w:cs="Arial"/>
          <w:color w:val="000000"/>
          <w:sz w:val="24"/>
          <w:szCs w:val="24"/>
        </w:rPr>
        <w:t xml:space="preserve"> F</w:t>
      </w:r>
      <w:r w:rsidR="00E56B09">
        <w:rPr>
          <w:rFonts w:ascii="Arial" w:hAnsi="Arial" w:cs="Arial"/>
          <w:color w:val="000000"/>
          <w:sz w:val="24"/>
          <w:szCs w:val="24"/>
        </w:rPr>
        <w:t>ROM</w:t>
      </w:r>
      <w:r w:rsidR="00864C86">
        <w:rPr>
          <w:rFonts w:ascii="Arial" w:hAnsi="Arial" w:cs="Arial"/>
          <w:color w:val="000000"/>
          <w:sz w:val="24"/>
          <w:szCs w:val="24"/>
        </w:rPr>
        <w:t xml:space="preserve"> </w:t>
      </w:r>
      <w:r w:rsidR="00E56B09">
        <w:rPr>
          <w:rFonts w:ascii="Arial" w:hAnsi="Arial" w:cs="Arial"/>
          <w:color w:val="000000"/>
          <w:sz w:val="24"/>
          <w:szCs w:val="24"/>
        </w:rPr>
        <w:t xml:space="preserve">LONGWOOD UNIVERSITY REGARDING </w:t>
      </w:r>
      <w:r>
        <w:rPr>
          <w:rFonts w:ascii="Arial" w:hAnsi="Arial" w:cs="Arial"/>
          <w:color w:val="000000"/>
          <w:sz w:val="24"/>
          <w:szCs w:val="24"/>
        </w:rPr>
        <w:t>ITS</w:t>
      </w:r>
      <w:r w:rsidR="00E56B09">
        <w:rPr>
          <w:rFonts w:ascii="Arial" w:hAnsi="Arial" w:cs="Arial"/>
          <w:color w:val="000000"/>
          <w:sz w:val="24"/>
          <w:szCs w:val="24"/>
        </w:rPr>
        <w:t xml:space="preserve"> RESULTS F</w:t>
      </w:r>
      <w:r w:rsidR="00D14396">
        <w:rPr>
          <w:rFonts w:ascii="Arial" w:hAnsi="Arial" w:cs="Arial"/>
          <w:color w:val="000000"/>
          <w:sz w:val="24"/>
          <w:szCs w:val="24"/>
        </w:rPr>
        <w:t>ROM</w:t>
      </w:r>
      <w:r w:rsidR="00E56B09">
        <w:rPr>
          <w:rFonts w:ascii="Arial" w:hAnsi="Arial" w:cs="Arial"/>
          <w:color w:val="000000"/>
          <w:sz w:val="24"/>
          <w:szCs w:val="24"/>
        </w:rPr>
        <w:t xml:space="preserve"> THE FINANCIAL AND ADMINISTRATIVE STANDARDS</w:t>
      </w:r>
      <w:r>
        <w:rPr>
          <w:rFonts w:ascii="Arial" w:hAnsi="Arial" w:cs="Arial"/>
          <w:color w:val="000000"/>
          <w:sz w:val="24"/>
          <w:szCs w:val="24"/>
        </w:rPr>
        <w:t xml:space="preserve"> REVIEW</w:t>
      </w:r>
    </w:p>
    <w:p w:rsidR="00E56B09" w:rsidRDefault="00E56B09" w:rsidP="00864C86">
      <w:pPr>
        <w:spacing w:before="100" w:beforeAutospacing="1" w:after="100" w:afterAutospacing="1"/>
        <w:jc w:val="both"/>
        <w:rPr>
          <w:rFonts w:ascii="Arial" w:hAnsi="Arial" w:cs="Arial"/>
          <w:color w:val="000000"/>
          <w:sz w:val="24"/>
          <w:szCs w:val="24"/>
        </w:rPr>
      </w:pPr>
    </w:p>
    <w:p w:rsidR="00C62696" w:rsidRDefault="00C62696" w:rsidP="006A35EF">
      <w:pPr>
        <w:spacing w:before="100" w:beforeAutospacing="1" w:after="100" w:afterAutospacing="1"/>
        <w:rPr>
          <w:rFonts w:ascii="Arial" w:hAnsi="Arial" w:cs="Arial"/>
          <w:color w:val="000000"/>
          <w:sz w:val="24"/>
          <w:szCs w:val="24"/>
        </w:rPr>
      </w:pPr>
    </w:p>
    <w:p w:rsidR="000701B5" w:rsidRDefault="000701B5" w:rsidP="006A35EF">
      <w:pPr>
        <w:spacing w:before="100" w:beforeAutospacing="1" w:after="100" w:afterAutospacing="1"/>
        <w:rPr>
          <w:rFonts w:ascii="Arial" w:hAnsi="Arial" w:cs="Arial"/>
          <w:color w:val="000000"/>
          <w:sz w:val="24"/>
          <w:szCs w:val="24"/>
        </w:rPr>
      </w:pPr>
    </w:p>
    <w:p w:rsidR="000701B5" w:rsidRDefault="000701B5" w:rsidP="006A35EF">
      <w:pPr>
        <w:spacing w:before="100" w:beforeAutospacing="1" w:after="100" w:afterAutospacing="1"/>
        <w:rPr>
          <w:rFonts w:ascii="Arial" w:hAnsi="Arial" w:cs="Arial"/>
          <w:color w:val="000000"/>
          <w:sz w:val="24"/>
          <w:szCs w:val="24"/>
        </w:rPr>
      </w:pPr>
    </w:p>
    <w:p w:rsidR="000701B5" w:rsidRDefault="000701B5" w:rsidP="006A35EF">
      <w:pPr>
        <w:spacing w:before="100" w:beforeAutospacing="1" w:after="100" w:afterAutospacing="1"/>
        <w:rPr>
          <w:rFonts w:ascii="Arial" w:hAnsi="Arial" w:cs="Arial"/>
          <w:color w:val="000000"/>
          <w:sz w:val="24"/>
          <w:szCs w:val="24"/>
        </w:rPr>
      </w:pPr>
    </w:p>
    <w:p w:rsidR="000701B5" w:rsidRDefault="000701B5" w:rsidP="006A35EF">
      <w:pPr>
        <w:spacing w:before="100" w:beforeAutospacing="1" w:after="100" w:afterAutospacing="1"/>
        <w:rPr>
          <w:rFonts w:ascii="Arial" w:hAnsi="Arial" w:cs="Arial"/>
          <w:color w:val="000000"/>
          <w:sz w:val="24"/>
          <w:szCs w:val="24"/>
        </w:rPr>
      </w:pPr>
    </w:p>
    <w:p w:rsidR="000701B5" w:rsidRDefault="000701B5" w:rsidP="006A35EF">
      <w:pPr>
        <w:spacing w:before="100" w:beforeAutospacing="1" w:after="100" w:afterAutospacing="1"/>
        <w:rPr>
          <w:rFonts w:ascii="Arial" w:hAnsi="Arial" w:cs="Arial"/>
          <w:color w:val="000000"/>
          <w:sz w:val="24"/>
          <w:szCs w:val="24"/>
        </w:rPr>
      </w:pPr>
    </w:p>
    <w:p w:rsidR="00EC0026" w:rsidRDefault="00EC0026">
      <w:pPr>
        <w:rPr>
          <w:rFonts w:ascii="Arial" w:hAnsi="Arial" w:cs="Arial"/>
          <w:color w:val="000000"/>
          <w:sz w:val="24"/>
          <w:szCs w:val="24"/>
        </w:rPr>
      </w:pPr>
      <w:r>
        <w:rPr>
          <w:rFonts w:ascii="Arial" w:hAnsi="Arial" w:cs="Arial"/>
          <w:color w:val="000000"/>
          <w:sz w:val="24"/>
          <w:szCs w:val="24"/>
        </w:rPr>
        <w:br w:type="page"/>
      </w:r>
    </w:p>
    <w:p w:rsidR="00EC0026" w:rsidRPr="00EC0026" w:rsidRDefault="00EC0026" w:rsidP="00EC0026">
      <w:pPr>
        <w:ind w:right="-1170"/>
        <w:jc w:val="center"/>
        <w:rPr>
          <w:rFonts w:ascii="Calibri" w:eastAsia="Calibri" w:hAnsi="Calibri"/>
          <w:color w:val="auto"/>
          <w:sz w:val="22"/>
          <w:szCs w:val="22"/>
        </w:rPr>
      </w:pPr>
      <w:r w:rsidRPr="00EC0026">
        <w:rPr>
          <w:rFonts w:ascii="Arial" w:eastAsia="Calibri" w:hAnsi="Arial" w:cs="Arial"/>
          <w:noProof/>
          <w:color w:val="0B0080"/>
          <w:sz w:val="21"/>
          <w:szCs w:val="21"/>
          <w:shd w:val="clear" w:color="auto" w:fill="FFFFFF"/>
        </w:rPr>
        <w:drawing>
          <wp:inline distT="0" distB="0" distL="0" distR="0" wp14:anchorId="701B7299" wp14:editId="680855FC">
            <wp:extent cx="3333750" cy="516731"/>
            <wp:effectExtent l="0" t="0" r="0" b="0"/>
            <wp:docPr id="1" name="Picture 1" descr="File:Longwood University logo.png" title="appendix H - letter from Longwood Universit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ngwood University logo.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516731"/>
                    </a:xfrm>
                    <a:prstGeom prst="rect">
                      <a:avLst/>
                    </a:prstGeom>
                    <a:noFill/>
                    <a:ln>
                      <a:noFill/>
                    </a:ln>
                  </pic:spPr>
                </pic:pic>
              </a:graphicData>
            </a:graphic>
          </wp:inline>
        </w:drawing>
      </w:r>
    </w:p>
    <w:p w:rsidR="00EC0026" w:rsidRPr="00EC0026" w:rsidRDefault="00EC0026" w:rsidP="00EC0026">
      <w:pPr>
        <w:rPr>
          <w:rFonts w:ascii="Calibri" w:eastAsia="Calibri" w:hAnsi="Calibri"/>
          <w:color w:val="auto"/>
          <w:sz w:val="22"/>
          <w:szCs w:val="22"/>
        </w:rPr>
      </w:pPr>
    </w:p>
    <w:p w:rsidR="00EC0026" w:rsidRPr="00EC0026" w:rsidRDefault="00EC0026" w:rsidP="00EC0026">
      <w:pPr>
        <w:rPr>
          <w:rFonts w:ascii="Calibri" w:eastAsia="Calibri" w:hAnsi="Calibri"/>
          <w:b/>
          <w:color w:val="auto"/>
          <w:sz w:val="24"/>
          <w:szCs w:val="24"/>
        </w:rPr>
      </w:pPr>
    </w:p>
    <w:p w:rsidR="00EC0026" w:rsidRPr="00EC0026" w:rsidRDefault="00EC0026" w:rsidP="00EC0026">
      <w:pPr>
        <w:jc w:val="center"/>
        <w:rPr>
          <w:rFonts w:ascii="Calibri" w:eastAsia="Calibri" w:hAnsi="Calibri"/>
          <w:b/>
          <w:color w:val="auto"/>
          <w:sz w:val="28"/>
          <w:szCs w:val="28"/>
        </w:rPr>
      </w:pPr>
      <w:r w:rsidRPr="00EC0026">
        <w:rPr>
          <w:rFonts w:ascii="Calibri" w:eastAsia="Calibri" w:hAnsi="Calibri"/>
          <w:b/>
          <w:color w:val="auto"/>
          <w:sz w:val="28"/>
          <w:szCs w:val="28"/>
        </w:rPr>
        <w:t>M E M O R A N D U M</w:t>
      </w:r>
    </w:p>
    <w:p w:rsidR="00EC0026" w:rsidRPr="00EC0026" w:rsidRDefault="00EC0026" w:rsidP="00EC0026">
      <w:pPr>
        <w:rPr>
          <w:rFonts w:ascii="Calibri" w:eastAsia="Calibri" w:hAnsi="Calibri"/>
          <w:b/>
          <w:color w:val="auto"/>
          <w:sz w:val="28"/>
          <w:szCs w:val="28"/>
        </w:rPr>
      </w:pPr>
    </w:p>
    <w:p w:rsidR="00EC0026" w:rsidRPr="00EC0026" w:rsidRDefault="00EC0026" w:rsidP="00EC0026">
      <w:pPr>
        <w:rPr>
          <w:rFonts w:ascii="Calibri" w:eastAsia="Calibri" w:hAnsi="Calibri"/>
          <w:b/>
          <w:color w:val="auto"/>
          <w:sz w:val="24"/>
          <w:szCs w:val="24"/>
        </w:rPr>
      </w:pPr>
      <w:r w:rsidRPr="00EC0026">
        <w:rPr>
          <w:rFonts w:ascii="Calibri" w:eastAsia="Calibri" w:hAnsi="Calibri"/>
          <w:b/>
          <w:color w:val="auto"/>
          <w:sz w:val="24"/>
          <w:szCs w:val="24"/>
        </w:rPr>
        <w:t>TO:</w:t>
      </w:r>
      <w:r w:rsidRPr="00EC0026">
        <w:rPr>
          <w:rFonts w:ascii="Calibri" w:eastAsia="Calibri" w:hAnsi="Calibri"/>
          <w:b/>
          <w:color w:val="auto"/>
          <w:sz w:val="24"/>
          <w:szCs w:val="24"/>
        </w:rPr>
        <w:tab/>
      </w:r>
      <w:r w:rsidRPr="00EC0026">
        <w:rPr>
          <w:rFonts w:ascii="Calibri" w:eastAsia="Calibri" w:hAnsi="Calibri"/>
          <w:b/>
          <w:color w:val="auto"/>
          <w:sz w:val="24"/>
          <w:szCs w:val="24"/>
        </w:rPr>
        <w:tab/>
        <w:t>SCHEV</w:t>
      </w:r>
    </w:p>
    <w:p w:rsidR="00EC0026" w:rsidRPr="00EC0026" w:rsidRDefault="00EC0026" w:rsidP="00EC0026">
      <w:pPr>
        <w:rPr>
          <w:rFonts w:ascii="Calibri" w:eastAsia="Calibri" w:hAnsi="Calibri"/>
          <w:b/>
          <w:color w:val="auto"/>
          <w:sz w:val="24"/>
          <w:szCs w:val="24"/>
        </w:rPr>
      </w:pPr>
    </w:p>
    <w:p w:rsidR="00EC0026" w:rsidRPr="00EC0026" w:rsidRDefault="00EC0026" w:rsidP="00EC0026">
      <w:pPr>
        <w:rPr>
          <w:rFonts w:ascii="Calibri" w:eastAsia="Calibri" w:hAnsi="Calibri"/>
          <w:b/>
          <w:color w:val="auto"/>
          <w:sz w:val="24"/>
          <w:szCs w:val="24"/>
        </w:rPr>
      </w:pPr>
      <w:r w:rsidRPr="00EC0026">
        <w:rPr>
          <w:rFonts w:ascii="Calibri" w:eastAsia="Calibri" w:hAnsi="Calibri"/>
          <w:b/>
          <w:color w:val="auto"/>
          <w:sz w:val="24"/>
          <w:szCs w:val="24"/>
        </w:rPr>
        <w:t>FROM:</w:t>
      </w:r>
      <w:r w:rsidRPr="00EC0026">
        <w:rPr>
          <w:rFonts w:ascii="Calibri" w:eastAsia="Calibri" w:hAnsi="Calibri"/>
          <w:b/>
          <w:color w:val="auto"/>
          <w:sz w:val="24"/>
          <w:szCs w:val="24"/>
        </w:rPr>
        <w:tab/>
      </w:r>
      <w:r w:rsidRPr="00EC0026">
        <w:rPr>
          <w:rFonts w:ascii="Calibri" w:eastAsia="Calibri" w:hAnsi="Calibri"/>
          <w:b/>
          <w:color w:val="auto"/>
          <w:sz w:val="24"/>
          <w:szCs w:val="24"/>
        </w:rPr>
        <w:tab/>
        <w:t>Taylor Reveley</w:t>
      </w:r>
    </w:p>
    <w:p w:rsidR="00EC0026" w:rsidRPr="00EC0026" w:rsidRDefault="00EC0026" w:rsidP="00EC0026">
      <w:pPr>
        <w:rPr>
          <w:rFonts w:ascii="Calibri" w:eastAsia="Calibri" w:hAnsi="Calibri"/>
          <w:b/>
          <w:color w:val="auto"/>
          <w:sz w:val="24"/>
          <w:szCs w:val="24"/>
        </w:rPr>
      </w:pPr>
      <w:r w:rsidRPr="00EC0026">
        <w:rPr>
          <w:rFonts w:ascii="Calibri" w:eastAsia="Calibri" w:hAnsi="Calibri"/>
          <w:b/>
          <w:color w:val="auto"/>
          <w:sz w:val="24"/>
          <w:szCs w:val="24"/>
        </w:rPr>
        <w:tab/>
      </w:r>
      <w:r w:rsidRPr="00EC0026">
        <w:rPr>
          <w:rFonts w:ascii="Calibri" w:eastAsia="Calibri" w:hAnsi="Calibri"/>
          <w:b/>
          <w:color w:val="auto"/>
          <w:sz w:val="24"/>
          <w:szCs w:val="24"/>
        </w:rPr>
        <w:tab/>
        <w:t>President</w:t>
      </w:r>
    </w:p>
    <w:p w:rsidR="00EC0026" w:rsidRPr="00EC0026" w:rsidRDefault="00EC0026" w:rsidP="00EC0026">
      <w:pPr>
        <w:rPr>
          <w:rFonts w:ascii="Calibri" w:eastAsia="Calibri" w:hAnsi="Calibri"/>
          <w:b/>
          <w:color w:val="auto"/>
          <w:sz w:val="24"/>
          <w:szCs w:val="24"/>
        </w:rPr>
      </w:pPr>
    </w:p>
    <w:p w:rsidR="00EC0026" w:rsidRPr="00EC0026" w:rsidRDefault="00EC0026" w:rsidP="00EC0026">
      <w:pPr>
        <w:rPr>
          <w:rFonts w:ascii="Calibri" w:eastAsia="Calibri" w:hAnsi="Calibri"/>
          <w:b/>
          <w:color w:val="auto"/>
          <w:sz w:val="24"/>
          <w:szCs w:val="24"/>
        </w:rPr>
      </w:pPr>
      <w:r w:rsidRPr="00EC0026">
        <w:rPr>
          <w:rFonts w:ascii="Calibri" w:eastAsia="Calibri" w:hAnsi="Calibri"/>
          <w:b/>
          <w:color w:val="auto"/>
          <w:sz w:val="24"/>
          <w:szCs w:val="24"/>
        </w:rPr>
        <w:t>DATE:</w:t>
      </w:r>
      <w:r w:rsidRPr="00EC0026">
        <w:rPr>
          <w:rFonts w:ascii="Calibri" w:eastAsia="Calibri" w:hAnsi="Calibri"/>
          <w:b/>
          <w:color w:val="auto"/>
          <w:sz w:val="24"/>
          <w:szCs w:val="24"/>
        </w:rPr>
        <w:tab/>
      </w:r>
      <w:r w:rsidRPr="00EC0026">
        <w:rPr>
          <w:rFonts w:ascii="Calibri" w:eastAsia="Calibri" w:hAnsi="Calibri"/>
          <w:b/>
          <w:color w:val="auto"/>
          <w:sz w:val="24"/>
          <w:szCs w:val="24"/>
        </w:rPr>
        <w:tab/>
        <w:t>September 4, 2018</w:t>
      </w:r>
    </w:p>
    <w:p w:rsidR="00EC0026" w:rsidRPr="00EC0026" w:rsidRDefault="00EC0026" w:rsidP="00EC0026">
      <w:pPr>
        <w:rPr>
          <w:rFonts w:ascii="Calibri" w:eastAsia="Calibri" w:hAnsi="Calibri"/>
          <w:b/>
          <w:color w:val="auto"/>
          <w:sz w:val="24"/>
          <w:szCs w:val="24"/>
        </w:rPr>
      </w:pPr>
    </w:p>
    <w:p w:rsidR="00EC0026" w:rsidRPr="00EC0026" w:rsidRDefault="00EC0026" w:rsidP="00EC0026">
      <w:pPr>
        <w:rPr>
          <w:rFonts w:ascii="Calibri" w:eastAsia="Calibri" w:hAnsi="Calibri"/>
          <w:b/>
          <w:color w:val="auto"/>
          <w:sz w:val="24"/>
          <w:szCs w:val="24"/>
        </w:rPr>
      </w:pPr>
      <w:r w:rsidRPr="00EC0026">
        <w:rPr>
          <w:rFonts w:ascii="Calibri" w:eastAsia="Calibri" w:hAnsi="Calibri"/>
          <w:b/>
          <w:color w:val="auto"/>
          <w:sz w:val="24"/>
          <w:szCs w:val="24"/>
        </w:rPr>
        <w:t>RE:</w:t>
      </w:r>
      <w:r w:rsidRPr="00EC0026">
        <w:rPr>
          <w:rFonts w:ascii="Calibri" w:eastAsia="Calibri" w:hAnsi="Calibri"/>
          <w:b/>
          <w:color w:val="auto"/>
          <w:sz w:val="24"/>
          <w:szCs w:val="24"/>
        </w:rPr>
        <w:tab/>
      </w:r>
      <w:r w:rsidRPr="00EC0026">
        <w:rPr>
          <w:rFonts w:ascii="Calibri" w:eastAsia="Calibri" w:hAnsi="Calibri"/>
          <w:b/>
          <w:color w:val="auto"/>
          <w:sz w:val="24"/>
          <w:szCs w:val="24"/>
        </w:rPr>
        <w:tab/>
        <w:t>LU FY2016-17 Audit</w:t>
      </w:r>
    </w:p>
    <w:p w:rsidR="00EC0026" w:rsidRPr="00EC0026" w:rsidRDefault="00EC0026" w:rsidP="00EC0026">
      <w:pPr>
        <w:pBdr>
          <w:bottom w:val="single" w:sz="12" w:space="1" w:color="auto"/>
        </w:pBdr>
        <w:jc w:val="center"/>
        <w:rPr>
          <w:rFonts w:ascii="Calibri" w:eastAsia="Calibri" w:hAnsi="Calibri"/>
          <w:b/>
          <w:color w:val="auto"/>
          <w:sz w:val="24"/>
          <w:szCs w:val="24"/>
        </w:rPr>
      </w:pPr>
    </w:p>
    <w:p w:rsidR="00EC0026" w:rsidRPr="00EC0026" w:rsidRDefault="00EC0026" w:rsidP="00EC0026">
      <w:pPr>
        <w:jc w:val="center"/>
        <w:rPr>
          <w:rFonts w:ascii="Calibri" w:eastAsia="Calibri" w:hAnsi="Calibri"/>
          <w:b/>
          <w:color w:val="auto"/>
          <w:sz w:val="6"/>
          <w:szCs w:val="6"/>
        </w:rPr>
      </w:pPr>
    </w:p>
    <w:p w:rsidR="00EC0026" w:rsidRPr="00EC0026" w:rsidRDefault="00EC0026" w:rsidP="00EC0026">
      <w:pPr>
        <w:spacing w:after="200" w:line="276" w:lineRule="auto"/>
        <w:rPr>
          <w:rFonts w:ascii="Calibri" w:eastAsia="Calibri" w:hAnsi="Calibri"/>
          <w:color w:val="auto"/>
          <w:sz w:val="22"/>
          <w:szCs w:val="22"/>
        </w:rPr>
      </w:pPr>
      <w:r w:rsidRPr="00EC0026">
        <w:rPr>
          <w:rFonts w:ascii="Calibri" w:eastAsia="Calibri" w:hAnsi="Calibri"/>
          <w:color w:val="auto"/>
          <w:sz w:val="22"/>
          <w:szCs w:val="22"/>
        </w:rPr>
        <w:t xml:space="preserve">Thanks to the support of the Commonwealth and prudent financial strategies on the part of successive presidential administrations at the University with the consultation and oversight of our Board of Visitors, Longwood is in a strong position today. </w:t>
      </w:r>
    </w:p>
    <w:p w:rsidR="00EC0026" w:rsidRPr="00EC0026" w:rsidRDefault="00EC0026" w:rsidP="00EC0026">
      <w:pPr>
        <w:spacing w:after="200" w:line="276" w:lineRule="auto"/>
        <w:rPr>
          <w:rFonts w:ascii="Calibri" w:eastAsia="Calibri" w:hAnsi="Calibri"/>
          <w:color w:val="auto"/>
          <w:sz w:val="22"/>
          <w:szCs w:val="22"/>
        </w:rPr>
      </w:pPr>
      <w:r w:rsidRPr="00EC0026">
        <w:rPr>
          <w:rFonts w:ascii="Calibri" w:eastAsia="Calibri" w:hAnsi="Calibri"/>
          <w:color w:val="auto"/>
          <w:sz w:val="22"/>
          <w:szCs w:val="22"/>
        </w:rPr>
        <w:t>In your review of Longwood in relation to Financial and Administrative Standards and the University’s FY2016-17 Audit, several considerations may offer meaningful insight.</w:t>
      </w:r>
    </w:p>
    <w:p w:rsidR="00EC0026" w:rsidRPr="00EC0026" w:rsidRDefault="00EC0026" w:rsidP="00EC0026">
      <w:pPr>
        <w:spacing w:after="200" w:line="276" w:lineRule="auto"/>
        <w:rPr>
          <w:rFonts w:ascii="Calibri" w:eastAsia="Calibri" w:hAnsi="Calibri"/>
          <w:color w:val="auto"/>
          <w:sz w:val="22"/>
          <w:szCs w:val="22"/>
        </w:rPr>
      </w:pPr>
      <w:r w:rsidRPr="00EC0026">
        <w:rPr>
          <w:rFonts w:ascii="Calibri" w:eastAsia="Calibri" w:hAnsi="Calibri"/>
          <w:color w:val="auto"/>
          <w:sz w:val="22"/>
          <w:szCs w:val="22"/>
        </w:rPr>
        <w:t>Over FY2016-17, the Longwood University Foundation (Longwood’s primary philanthropic foundation) experienced one of its most successful years to date, with net assets increasing 16.1% from $69.4M to $80.5M, an $11.1M gain on the strength of fundraising activity and investment growth.  Unfortunately, this pace did strain foundation staff resources, which resulted in untimely submissions to the Department of Accounts in the fall of last year.  The University subsequently received firm assurance from the Foundation that going forward staffing levels are in order for preparation of all submissions in full accordance with proper timetables.  In FY2017-18, the Foundation’s net assets increased 14.7% year over year to $92.4M.</w:t>
      </w:r>
    </w:p>
    <w:p w:rsidR="00EC0026" w:rsidRPr="00EC0026" w:rsidRDefault="00EC0026" w:rsidP="00EC0026">
      <w:pPr>
        <w:spacing w:after="200" w:line="276" w:lineRule="auto"/>
        <w:rPr>
          <w:rFonts w:ascii="Calibri" w:eastAsia="Calibri" w:hAnsi="Calibri"/>
          <w:color w:val="auto"/>
          <w:sz w:val="22"/>
          <w:szCs w:val="22"/>
        </w:rPr>
      </w:pPr>
      <w:r w:rsidRPr="00EC0026">
        <w:rPr>
          <w:rFonts w:ascii="Calibri" w:eastAsia="Calibri" w:hAnsi="Calibri"/>
          <w:color w:val="auto"/>
          <w:sz w:val="22"/>
          <w:szCs w:val="22"/>
        </w:rPr>
        <w:t>In its FY2016-17 audit work relating to IT, the APA identified a material weakness regarding access controls to a database that supports the university’s accounting and financial reporting.  Longwood has been acting diligently on the APA’s guidance and implementing complete and thorough measures in full accordance.  As to the much broader issue of cybersecurity generally, during FY2016-17 in connection with hosting the U.S. Vice Presidential Debate, the University likewise met the exacting cybersecurity standards of the U.S. Secret Service.</w:t>
      </w:r>
    </w:p>
    <w:p w:rsidR="00EC0026" w:rsidRPr="00EC0026" w:rsidRDefault="00EC0026" w:rsidP="00EC0026">
      <w:pPr>
        <w:spacing w:after="200" w:line="276" w:lineRule="auto"/>
        <w:rPr>
          <w:rFonts w:ascii="Calibri" w:eastAsia="Calibri" w:hAnsi="Calibri"/>
          <w:color w:val="auto"/>
          <w:sz w:val="22"/>
          <w:szCs w:val="22"/>
        </w:rPr>
      </w:pPr>
      <w:r w:rsidRPr="00EC0026">
        <w:rPr>
          <w:rFonts w:ascii="Calibri" w:eastAsia="Calibri" w:hAnsi="Calibri"/>
          <w:color w:val="auto"/>
          <w:sz w:val="22"/>
          <w:szCs w:val="22"/>
        </w:rPr>
        <w:t>Lastly, in its FY2016-17 audit, the APA also identified a material weakness regarding the University’s capital asset reconciliation procedures.  The University’s business practice for over a decade had been to maintain two systems of record for capital assets, and Longwood is appreciative to the APA for drawing attention to the need for routine reconciliation of the systems, as well as ideally for software migration to a single system of record.  The APA has verified that the amounts for depreciable and non-depreciable capital assets are materially accurate on the University’s financial statements.</w:t>
      </w:r>
    </w:p>
    <w:p w:rsidR="000701B5" w:rsidRDefault="000701B5" w:rsidP="006A35EF">
      <w:pPr>
        <w:spacing w:before="100" w:beforeAutospacing="1" w:after="100" w:afterAutospacing="1"/>
        <w:rPr>
          <w:rFonts w:ascii="Arial" w:hAnsi="Arial" w:cs="Arial"/>
          <w:color w:val="000000"/>
          <w:sz w:val="24"/>
          <w:szCs w:val="24"/>
        </w:rPr>
      </w:pPr>
    </w:p>
    <w:p w:rsidR="000701B5" w:rsidRPr="00DD2188" w:rsidRDefault="000701B5" w:rsidP="000701B5">
      <w:pPr>
        <w:spacing w:before="100" w:beforeAutospacing="1" w:after="100" w:afterAutospacing="1"/>
        <w:jc w:val="both"/>
        <w:rPr>
          <w:rFonts w:ascii="Arial" w:hAnsi="Arial" w:cs="Arial"/>
          <w:color w:val="000000"/>
          <w:sz w:val="28"/>
          <w:szCs w:val="28"/>
        </w:rPr>
      </w:pPr>
      <w:r w:rsidRPr="00DD2188">
        <w:rPr>
          <w:rFonts w:ascii="Arial" w:hAnsi="Arial" w:cs="Arial"/>
          <w:color w:val="000000"/>
          <w:sz w:val="28"/>
          <w:szCs w:val="28"/>
        </w:rPr>
        <w:t xml:space="preserve">APPENDIX </w:t>
      </w:r>
      <w:r>
        <w:rPr>
          <w:rFonts w:ascii="Arial" w:hAnsi="Arial" w:cs="Arial"/>
          <w:color w:val="000000"/>
          <w:sz w:val="28"/>
          <w:szCs w:val="28"/>
        </w:rPr>
        <w:t>I</w:t>
      </w:r>
      <w:r w:rsidRPr="00DD2188">
        <w:rPr>
          <w:rFonts w:ascii="Arial" w:hAnsi="Arial" w:cs="Arial"/>
          <w:color w:val="000000"/>
          <w:sz w:val="28"/>
          <w:szCs w:val="28"/>
        </w:rPr>
        <w:t xml:space="preserve"> </w:t>
      </w:r>
    </w:p>
    <w:p w:rsidR="000701B5" w:rsidRDefault="00DD0552" w:rsidP="000701B5">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COMMENTS</w:t>
      </w:r>
      <w:r w:rsidR="000701B5">
        <w:rPr>
          <w:rFonts w:ascii="Arial" w:hAnsi="Arial" w:cs="Arial"/>
          <w:color w:val="000000"/>
          <w:sz w:val="24"/>
          <w:szCs w:val="24"/>
        </w:rPr>
        <w:t xml:space="preserve"> FROM RICHARD BLAND COLLEGE REGARDING </w:t>
      </w:r>
      <w:r>
        <w:rPr>
          <w:rFonts w:ascii="Arial" w:hAnsi="Arial" w:cs="Arial"/>
          <w:color w:val="000000"/>
          <w:sz w:val="24"/>
          <w:szCs w:val="24"/>
        </w:rPr>
        <w:t>ITS</w:t>
      </w:r>
      <w:r w:rsidR="000701B5">
        <w:rPr>
          <w:rFonts w:ascii="Arial" w:hAnsi="Arial" w:cs="Arial"/>
          <w:color w:val="000000"/>
          <w:sz w:val="24"/>
          <w:szCs w:val="24"/>
        </w:rPr>
        <w:t xml:space="preserve"> RESULTS </w:t>
      </w:r>
      <w:r w:rsidR="00D14396">
        <w:rPr>
          <w:rFonts w:ascii="Arial" w:hAnsi="Arial" w:cs="Arial"/>
          <w:color w:val="000000"/>
          <w:sz w:val="24"/>
          <w:szCs w:val="24"/>
        </w:rPr>
        <w:t>FROM</w:t>
      </w:r>
      <w:r w:rsidR="000701B5">
        <w:rPr>
          <w:rFonts w:ascii="Arial" w:hAnsi="Arial" w:cs="Arial"/>
          <w:color w:val="000000"/>
          <w:sz w:val="24"/>
          <w:szCs w:val="24"/>
        </w:rPr>
        <w:t xml:space="preserve"> THE FINANCIAL AND ADMINISTRATIVE STANDARDS</w:t>
      </w:r>
      <w:r>
        <w:rPr>
          <w:rFonts w:ascii="Arial" w:hAnsi="Arial" w:cs="Arial"/>
          <w:color w:val="000000"/>
          <w:sz w:val="24"/>
          <w:szCs w:val="24"/>
        </w:rPr>
        <w:t xml:space="preserve"> REVIEW</w:t>
      </w:r>
    </w:p>
    <w:p w:rsidR="000701B5" w:rsidRDefault="000701B5" w:rsidP="006A35EF">
      <w:pPr>
        <w:spacing w:before="100" w:beforeAutospacing="1" w:after="100" w:afterAutospacing="1"/>
        <w:rPr>
          <w:rFonts w:ascii="Arial" w:hAnsi="Arial" w:cs="Arial"/>
          <w:color w:val="000000"/>
          <w:sz w:val="24"/>
          <w:szCs w:val="24"/>
        </w:rPr>
      </w:pPr>
    </w:p>
    <w:p w:rsidR="00D14396" w:rsidRDefault="00D14396">
      <w:pPr>
        <w:rPr>
          <w:rFonts w:ascii="Arial" w:hAnsi="Arial" w:cs="Arial"/>
          <w:color w:val="000000"/>
          <w:sz w:val="24"/>
          <w:szCs w:val="24"/>
        </w:rPr>
      </w:pPr>
      <w:r>
        <w:rPr>
          <w:rFonts w:ascii="Arial" w:hAnsi="Arial" w:cs="Arial"/>
          <w:color w:val="000000"/>
          <w:sz w:val="24"/>
          <w:szCs w:val="24"/>
        </w:rPr>
        <w:br w:type="page"/>
      </w:r>
    </w:p>
    <w:p w:rsidR="00D14396" w:rsidRDefault="009927B6" w:rsidP="009927B6">
      <w:pPr>
        <w:spacing w:before="100" w:beforeAutospacing="1" w:after="100" w:afterAutospacing="1"/>
        <w:jc w:val="center"/>
        <w:rPr>
          <w:rFonts w:ascii="Arial" w:hAnsi="Arial" w:cs="Arial"/>
          <w:color w:val="000000"/>
          <w:sz w:val="24"/>
          <w:szCs w:val="24"/>
        </w:rPr>
      </w:pPr>
      <w:r w:rsidRPr="009927B6">
        <w:rPr>
          <w:rFonts w:ascii="Cambria" w:eastAsia="MS Mincho" w:hAnsi="Cambria"/>
          <w:noProof/>
          <w:color w:val="auto"/>
          <w:sz w:val="24"/>
          <w:szCs w:val="24"/>
        </w:rPr>
        <w:drawing>
          <wp:inline distT="0" distB="0" distL="0" distR="0" wp14:anchorId="2C82EB65" wp14:editId="358D46ED">
            <wp:extent cx="4572000" cy="796925"/>
            <wp:effectExtent l="0" t="0" r="0" b="3175"/>
            <wp:docPr id="6" name="Picture 6" descr="This is the emblem for Richard Bland College." title="Richard Bland Colleg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InLine_2-Color_343 Helium.jpg"/>
                    <pic:cNvPicPr/>
                  </pic:nvPicPr>
                  <pic:blipFill>
                    <a:blip r:embed="rId31">
                      <a:extLst>
                        <a:ext uri="{28A0092B-C50C-407E-A947-70E740481C1C}">
                          <a14:useLocalDpi xmlns:a14="http://schemas.microsoft.com/office/drawing/2010/main" val="0"/>
                        </a:ext>
                      </a:extLst>
                    </a:blip>
                    <a:stretch>
                      <a:fillRect/>
                    </a:stretch>
                  </pic:blipFill>
                  <pic:spPr>
                    <a:xfrm>
                      <a:off x="0" y="0"/>
                      <a:ext cx="4572000" cy="796925"/>
                    </a:xfrm>
                    <a:prstGeom prst="rect">
                      <a:avLst/>
                    </a:prstGeom>
                  </pic:spPr>
                </pic:pic>
              </a:graphicData>
            </a:graphic>
          </wp:inline>
        </w:drawing>
      </w:r>
    </w:p>
    <w:p w:rsidR="009927B6" w:rsidRDefault="009927B6" w:rsidP="009927B6">
      <w:pPr>
        <w:widowControl w:val="0"/>
        <w:kinsoku w:val="0"/>
        <w:overflowPunct w:val="0"/>
        <w:autoSpaceDE w:val="0"/>
        <w:autoSpaceDN w:val="0"/>
        <w:adjustRightInd w:val="0"/>
        <w:spacing w:before="122" w:line="391" w:lineRule="auto"/>
        <w:ind w:left="270" w:hanging="90"/>
        <w:rPr>
          <w:rFonts w:ascii="Cambria" w:eastAsia="MS Mincho" w:hAnsi="Cambria" w:cs="Palatino Linotype"/>
          <w:color w:val="2C2C2C"/>
          <w:sz w:val="22"/>
          <w:szCs w:val="22"/>
        </w:rPr>
      </w:pPr>
    </w:p>
    <w:p w:rsidR="009927B6" w:rsidRPr="009927B6" w:rsidRDefault="009927B6" w:rsidP="009927B6">
      <w:pPr>
        <w:widowControl w:val="0"/>
        <w:kinsoku w:val="0"/>
        <w:overflowPunct w:val="0"/>
        <w:autoSpaceDE w:val="0"/>
        <w:autoSpaceDN w:val="0"/>
        <w:adjustRightInd w:val="0"/>
        <w:spacing w:before="122" w:line="391" w:lineRule="auto"/>
        <w:ind w:left="270" w:hanging="90"/>
        <w:rPr>
          <w:rFonts w:ascii="Cambria" w:eastAsia="MS Mincho" w:hAnsi="Cambria" w:cs="Palatino Linotype"/>
          <w:color w:val="2F2F2F"/>
          <w:w w:val="90"/>
          <w:sz w:val="22"/>
          <w:szCs w:val="22"/>
        </w:rPr>
      </w:pPr>
      <w:r w:rsidRPr="009927B6">
        <w:rPr>
          <w:rFonts w:ascii="Cambria" w:eastAsia="MS Mincho" w:hAnsi="Cambria" w:cs="Palatino Linotype"/>
          <w:color w:val="2C2C2C"/>
          <w:sz w:val="22"/>
          <w:szCs w:val="22"/>
        </w:rPr>
        <w:t xml:space="preserve">TO: </w:t>
      </w:r>
      <w:r w:rsidRPr="009927B6">
        <w:rPr>
          <w:rFonts w:ascii="Cambria" w:eastAsia="MS Mincho" w:hAnsi="Cambria" w:cs="Palatino Linotype"/>
          <w:color w:val="2C2C2C"/>
          <w:sz w:val="22"/>
          <w:szCs w:val="22"/>
        </w:rPr>
        <w:tab/>
      </w:r>
      <w:r w:rsidRPr="009927B6">
        <w:rPr>
          <w:rFonts w:ascii="Cambria" w:eastAsia="MS Mincho" w:hAnsi="Cambria" w:cs="Palatino Linotype"/>
          <w:color w:val="2C2C2C"/>
          <w:sz w:val="22"/>
          <w:szCs w:val="22"/>
        </w:rPr>
        <w:tab/>
      </w:r>
      <w:r w:rsidRPr="009927B6">
        <w:rPr>
          <w:rFonts w:ascii="Cambria" w:eastAsia="MS Mincho" w:hAnsi="Cambria" w:cs="Palatino Linotype"/>
          <w:color w:val="2F2F2F"/>
          <w:w w:val="90"/>
          <w:sz w:val="22"/>
          <w:szCs w:val="22"/>
        </w:rPr>
        <w:t>State Council of Higher Education for Virginia</w:t>
      </w:r>
    </w:p>
    <w:p w:rsidR="009927B6" w:rsidRPr="009927B6" w:rsidRDefault="009927B6" w:rsidP="009927B6">
      <w:pPr>
        <w:widowControl w:val="0"/>
        <w:kinsoku w:val="0"/>
        <w:overflowPunct w:val="0"/>
        <w:autoSpaceDE w:val="0"/>
        <w:autoSpaceDN w:val="0"/>
        <w:adjustRightInd w:val="0"/>
        <w:spacing w:before="122" w:line="391" w:lineRule="auto"/>
        <w:ind w:left="270" w:hanging="90"/>
        <w:rPr>
          <w:rFonts w:ascii="Cambria" w:eastAsia="MS Mincho" w:hAnsi="Cambria" w:cs="Palatino Linotype"/>
          <w:color w:val="2F2F2F"/>
          <w:w w:val="90"/>
          <w:sz w:val="22"/>
          <w:szCs w:val="22"/>
        </w:rPr>
      </w:pPr>
      <w:r w:rsidRPr="009927B6">
        <w:rPr>
          <w:rFonts w:ascii="Cambria" w:eastAsia="MS Mincho" w:hAnsi="Cambria" w:cs="Palatino Linotype"/>
          <w:color w:val="353535"/>
          <w:sz w:val="22"/>
          <w:szCs w:val="22"/>
        </w:rPr>
        <w:t>DATE:</w:t>
      </w:r>
      <w:r w:rsidRPr="009927B6">
        <w:rPr>
          <w:rFonts w:ascii="Cambria" w:eastAsia="MS Mincho" w:hAnsi="Cambria" w:cs="Palatino Linotype"/>
          <w:color w:val="353535"/>
          <w:sz w:val="22"/>
          <w:szCs w:val="22"/>
        </w:rPr>
        <w:tab/>
        <w:t>September 6, 2018</w:t>
      </w:r>
    </w:p>
    <w:p w:rsidR="009927B6" w:rsidRPr="009927B6" w:rsidRDefault="009927B6" w:rsidP="009927B6">
      <w:pPr>
        <w:widowControl w:val="0"/>
        <w:kinsoku w:val="0"/>
        <w:overflowPunct w:val="0"/>
        <w:autoSpaceDE w:val="0"/>
        <w:autoSpaceDN w:val="0"/>
        <w:adjustRightInd w:val="0"/>
        <w:spacing w:before="122" w:line="391" w:lineRule="auto"/>
        <w:ind w:left="270" w:hanging="90"/>
        <w:rPr>
          <w:rFonts w:ascii="Cambria" w:eastAsia="MS Mincho" w:hAnsi="Cambria" w:cs="Palatino Linotype"/>
          <w:color w:val="353535"/>
          <w:sz w:val="22"/>
          <w:szCs w:val="22"/>
        </w:rPr>
      </w:pPr>
      <w:r w:rsidRPr="009927B6">
        <w:rPr>
          <w:rFonts w:ascii="Cambria" w:eastAsia="MS Mincho" w:hAnsi="Cambria" w:cs="Palatino Linotype"/>
          <w:color w:val="353535"/>
          <w:sz w:val="22"/>
          <w:szCs w:val="22"/>
        </w:rPr>
        <w:t>SUBJECT:</w:t>
      </w:r>
      <w:r w:rsidRPr="009927B6">
        <w:rPr>
          <w:rFonts w:ascii="Cambria" w:eastAsia="MS Mincho" w:hAnsi="Cambria" w:cs="Palatino Linotype"/>
          <w:color w:val="353535"/>
          <w:sz w:val="22"/>
          <w:szCs w:val="22"/>
        </w:rPr>
        <w:tab/>
        <w:t>RBC Response to 2018 Financial and Administrative Standards Results</w:t>
      </w:r>
    </w:p>
    <w:p w:rsidR="009927B6" w:rsidRPr="009927B6" w:rsidRDefault="009927B6" w:rsidP="009927B6">
      <w:pPr>
        <w:ind w:left="180" w:right="173"/>
        <w:rPr>
          <w:rFonts w:ascii="Cambria" w:eastAsia="MS Mincho" w:hAnsi="Cambria"/>
          <w:b/>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Please accept the following as Richard Bland College’s response to SCHEV 2018 financial and administrative standards results.</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b/>
          <w:color w:val="auto"/>
          <w:sz w:val="22"/>
          <w:szCs w:val="22"/>
        </w:rPr>
        <w:t>Historical Perspective</w:t>
      </w: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 xml:space="preserve">Approval of the College’s strategic plan (RBC-19) by the Board of Visitors in April 2013 affirmed the College’s commitment to “establish and maintain a high performance organization and ensure financial … sustainability.” It is important to note that from the very beginning of this five-year planning cycle it was clear to the administration and the Board that achieving financial sustainability would be a long and arduous undertaking, in part because the necessary administrative infrastructure was not in place to ensure operational efficiency and effectiveness. The following slide was presented to the Board of Visitors at a meeting in April of 2014, indicating the envisioned trajectory. Achieving financial stability was envisioned as a first step toward financial strength and, ultimately, sustainability. </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noProof/>
          <w:color w:val="auto"/>
          <w:sz w:val="22"/>
          <w:szCs w:val="22"/>
        </w:rPr>
        <w:drawing>
          <wp:inline distT="0" distB="0" distL="0" distR="0" wp14:anchorId="0986691E" wp14:editId="047B647E">
            <wp:extent cx="5276310" cy="2967925"/>
            <wp:effectExtent l="0" t="0" r="635" b="4445"/>
            <wp:docPr id="12" name="Picture 12" descr="The following slide was presented to the Board of Visitors at a meeting in April of 2014, indicating the envisioned trajectory. " title="RBC's Envisioned Traj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16039" cy="2990272"/>
                    </a:xfrm>
                    <a:prstGeom prst="rect">
                      <a:avLst/>
                    </a:prstGeom>
                  </pic:spPr>
                </pic:pic>
              </a:graphicData>
            </a:graphic>
          </wp:inline>
        </w:drawing>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 xml:space="preserve">Even though Banner had been adopted as the College’s ERP in 2004, the initial install of the Banner finance module was limited and used primarily as a transactional tool. In other words, although the Banner finance module was in place, it was not implemented in an optimal way, and the chart of accounts was not organized in a way that allowed for proper accounting of transactions the way the system intended. In July 2016, RBC implemented a new release of Banner, revising its chart of accounts and working to incorporate the GASB reporting module in Banner finance to improve financial reporting.  Stated succinctly, prior to FY17, there was an inadequate infrastructure (technology, policies/procedures, and staffing) in place to ensure the financial integrity of operations. Efforts to advance the strategic goal of implementing necessary changes to financial operations resulted in substantial turnover of financial staff, which placed the College in a very difficult situation with regard to financial controls. </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Exacerbating the situation, just as the College began the slow and tedious climb toward financial stability, in 2013, GASB standards changed relative to group audit, which resulted in a more intense risk assessment of each entity represented in the consolidated audit report. In accordance with these new GASB standards, even though all three entities are governed by one board and a consolidated financial statement continued to be prepared, the Virginia Auditor of Public Accounts (APA) began to conduct a more in-depth audit of William &amp; Mary, the Virginia Institute of Marine Sciences, and Richard Bland College. The APA’s closer look at RBC finances not unexpectedly revealed numerous deficiencies.</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At the request of the Board of Visitors, the Senior Vice President for Finance and Administration of William and Mary assessed the finance and administrative needs of Richard Bland College and in April, 2015, reported the following:</w:t>
      </w:r>
    </w:p>
    <w:p w:rsidR="009927B6" w:rsidRPr="009927B6" w:rsidRDefault="009927B6" w:rsidP="009927B6">
      <w:pPr>
        <w:ind w:left="720"/>
        <w:rPr>
          <w:rFonts w:ascii="Calibri" w:eastAsia="MS Mincho" w:hAnsi="Calibri"/>
          <w:i/>
          <w:color w:val="auto"/>
          <w:sz w:val="22"/>
          <w:szCs w:val="22"/>
        </w:rPr>
      </w:pPr>
      <w:r w:rsidRPr="009927B6">
        <w:rPr>
          <w:rFonts w:ascii="Calibri" w:eastAsia="MS Mincho" w:hAnsi="Calibri"/>
          <w:i/>
          <w:color w:val="auto"/>
          <w:sz w:val="22"/>
          <w:szCs w:val="22"/>
        </w:rPr>
        <w:t xml:space="preserve">… significant investment is required to support current and future back office requirements and to meet state and federal policy and compliance requirements.  Appendix A provides a summary of what we see as the required $1.3 million investment.  </w:t>
      </w:r>
    </w:p>
    <w:p w:rsidR="009927B6" w:rsidRPr="009927B6" w:rsidRDefault="009927B6" w:rsidP="009927B6">
      <w:pPr>
        <w:ind w:left="720"/>
        <w:rPr>
          <w:rFonts w:ascii="Calibri" w:eastAsia="MS Mincho" w:hAnsi="Calibri"/>
          <w:i/>
          <w:color w:val="auto"/>
          <w:sz w:val="22"/>
          <w:szCs w:val="22"/>
        </w:rPr>
      </w:pPr>
    </w:p>
    <w:p w:rsidR="009927B6" w:rsidRPr="009927B6" w:rsidRDefault="009927B6" w:rsidP="009927B6">
      <w:pPr>
        <w:ind w:left="720"/>
        <w:rPr>
          <w:rFonts w:ascii="Calibri" w:eastAsia="MS Mincho" w:hAnsi="Calibri"/>
          <w:i/>
          <w:color w:val="auto"/>
          <w:sz w:val="22"/>
          <w:szCs w:val="22"/>
        </w:rPr>
      </w:pPr>
      <w:r w:rsidRPr="009927B6">
        <w:rPr>
          <w:rFonts w:ascii="Calibri" w:eastAsia="MS Mincho" w:hAnsi="Calibri"/>
          <w:i/>
          <w:color w:val="auto"/>
          <w:sz w:val="22"/>
          <w:szCs w:val="22"/>
        </w:rPr>
        <w:t>The need for this investment should not be read as a criticism of the quality or work effort of RBC staff, but recognition that, regardless of institutional size or mission, back office operations, policies, procedures, and compliance requirements remain much the same.  In addition, RBC’s move to on-campus housing, the addition of intercollegiate athletics, and other program changes have increased its risk profile as student demand and expectations for services increase and requirements on staff expand.</w:t>
      </w:r>
    </w:p>
    <w:p w:rsidR="009927B6" w:rsidRPr="009927B6" w:rsidRDefault="009927B6" w:rsidP="009927B6">
      <w:pPr>
        <w:ind w:left="720"/>
        <w:rPr>
          <w:rFonts w:ascii="Calibri" w:eastAsia="MS Mincho" w:hAnsi="Calibri"/>
          <w:i/>
          <w:color w:val="auto"/>
          <w:sz w:val="22"/>
          <w:szCs w:val="22"/>
        </w:rPr>
      </w:pPr>
    </w:p>
    <w:p w:rsidR="009927B6" w:rsidRPr="009927B6" w:rsidRDefault="009927B6" w:rsidP="009927B6">
      <w:pPr>
        <w:ind w:left="720"/>
        <w:rPr>
          <w:rFonts w:ascii="Calibri" w:eastAsia="MS Mincho" w:hAnsi="Calibri"/>
          <w:i/>
          <w:color w:val="auto"/>
          <w:sz w:val="22"/>
          <w:szCs w:val="22"/>
        </w:rPr>
      </w:pPr>
      <w:r w:rsidRPr="009927B6">
        <w:rPr>
          <w:rFonts w:ascii="Calibri" w:eastAsia="MS Mincho" w:hAnsi="Calibri"/>
          <w:i/>
          <w:color w:val="auto"/>
          <w:sz w:val="22"/>
          <w:szCs w:val="22"/>
        </w:rPr>
        <w:t>This assessment also recognizes that, to date, the Commonwealth has provided limited incremental funding to RBC even as language in the Appropriations Act encourages entrepreneurship.  Existing resources have followed the positive focus on strengthening and broadening RBC’s academic programs and reach, leaving limited resources to support Finance and Administrative operations.</w:t>
      </w:r>
    </w:p>
    <w:p w:rsidR="009927B6" w:rsidRPr="009927B6" w:rsidRDefault="009927B6" w:rsidP="009927B6">
      <w:pPr>
        <w:ind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 xml:space="preserve">Increasingly concerned about the risk that RBC posed to W&amp;M, the W&amp;M Board’s Audit Chairman met with the APA in 2013 to request an independent audit of Richard Bland College. Because the Board of Visitors governs both W&amp;M and RBC, an independent audit was not an option; however, the APA did agree to report internal control weaknesses for William &amp; Mary and Richard Bland College separately in its report to management beginning in FY 2016. </w:t>
      </w:r>
    </w:p>
    <w:p w:rsidR="009927B6" w:rsidRPr="009927B6" w:rsidRDefault="009927B6" w:rsidP="009927B6">
      <w:pPr>
        <w:ind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 xml:space="preserve">Not surprisingly, the APA identified a number of material and significant weaknesses in FY 2016.  Compounding those issues, the APA was late in releasing its report due to a backlog of its audit work and staffing shortages within the agency. The APA did not finalize its report on </w:t>
      </w: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FY 2016 until the September 2017 board meeting.  Given the delay in the FY 2016 audit, many issues persisted into FY 2017 as well. RBC has been working diligently to correct findings in both reports since that time.</w:t>
      </w:r>
    </w:p>
    <w:p w:rsidR="009927B6" w:rsidRPr="009927B6" w:rsidRDefault="009927B6" w:rsidP="009927B6">
      <w:pPr>
        <w:ind w:left="180" w:right="173"/>
        <w:rPr>
          <w:rFonts w:ascii="Cambria" w:eastAsia="MS Mincho" w:hAnsi="Cambria"/>
          <w:color w:val="auto"/>
          <w:sz w:val="22"/>
          <w:szCs w:val="22"/>
        </w:rPr>
      </w:pPr>
    </w:p>
    <w:p w:rsidR="009927B6" w:rsidRDefault="009927B6" w:rsidP="009927B6">
      <w:pPr>
        <w:ind w:left="180" w:right="173"/>
        <w:rPr>
          <w:rFonts w:ascii="Cambria" w:eastAsia="MS Mincho" w:hAnsi="Cambria"/>
          <w:b/>
          <w:color w:val="auto"/>
          <w:sz w:val="22"/>
          <w:szCs w:val="22"/>
        </w:rPr>
      </w:pPr>
    </w:p>
    <w:p w:rsidR="009927B6" w:rsidRDefault="009927B6" w:rsidP="009927B6">
      <w:pPr>
        <w:ind w:left="180" w:right="173"/>
        <w:rPr>
          <w:rFonts w:ascii="Cambria" w:eastAsia="MS Mincho" w:hAnsi="Cambria"/>
          <w:b/>
          <w:color w:val="auto"/>
          <w:sz w:val="22"/>
          <w:szCs w:val="22"/>
        </w:rPr>
      </w:pPr>
    </w:p>
    <w:p w:rsidR="009927B6" w:rsidRPr="009927B6" w:rsidRDefault="009927B6" w:rsidP="009927B6">
      <w:pPr>
        <w:ind w:left="180" w:right="173"/>
        <w:rPr>
          <w:rFonts w:ascii="Cambria" w:eastAsia="MS Mincho" w:hAnsi="Cambria"/>
          <w:b/>
          <w:color w:val="auto"/>
          <w:sz w:val="22"/>
          <w:szCs w:val="22"/>
        </w:rPr>
      </w:pPr>
      <w:r w:rsidRPr="009927B6">
        <w:rPr>
          <w:rFonts w:ascii="Cambria" w:eastAsia="MS Mincho" w:hAnsi="Cambria"/>
          <w:b/>
          <w:color w:val="auto"/>
          <w:sz w:val="22"/>
          <w:szCs w:val="22"/>
        </w:rPr>
        <w:t>Progress Report – Improvements Abound</w:t>
      </w: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In order to address the findings identified in the College’s first two independent audits, a Corrective Action Plan has been developed and implemented.</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widowControl w:val="0"/>
        <w:numPr>
          <w:ilvl w:val="0"/>
          <w:numId w:val="18"/>
        </w:numPr>
        <w:ind w:left="540" w:right="173"/>
        <w:rPr>
          <w:rFonts w:ascii="Cambria" w:eastAsia="Cambria" w:hAnsi="Cambria"/>
          <w:color w:val="auto"/>
          <w:sz w:val="22"/>
          <w:szCs w:val="22"/>
        </w:rPr>
      </w:pPr>
      <w:r w:rsidRPr="009927B6">
        <w:rPr>
          <w:rFonts w:ascii="Cambria" w:eastAsia="Cambria" w:hAnsi="Cambria"/>
          <w:color w:val="auto"/>
          <w:sz w:val="22"/>
          <w:szCs w:val="22"/>
        </w:rPr>
        <w:t xml:space="preserve">FY2016 findings: </w:t>
      </w:r>
    </w:p>
    <w:p w:rsidR="009927B6" w:rsidRPr="009927B6" w:rsidRDefault="009927B6" w:rsidP="009927B6">
      <w:pPr>
        <w:widowControl w:val="0"/>
        <w:numPr>
          <w:ilvl w:val="1"/>
          <w:numId w:val="18"/>
        </w:numPr>
        <w:ind w:left="1260" w:right="173"/>
        <w:rPr>
          <w:rFonts w:ascii="Cambria" w:eastAsia="Cambria" w:hAnsi="Cambria"/>
          <w:color w:val="auto"/>
          <w:sz w:val="22"/>
          <w:szCs w:val="22"/>
        </w:rPr>
      </w:pPr>
      <w:r w:rsidRPr="009927B6">
        <w:rPr>
          <w:rFonts w:ascii="Cambria" w:eastAsia="Cambria" w:hAnsi="Cambria"/>
          <w:color w:val="auto"/>
          <w:sz w:val="22"/>
          <w:szCs w:val="22"/>
        </w:rPr>
        <w:t>11 of 14 findings have been corrected (including accounts receivable).</w:t>
      </w:r>
    </w:p>
    <w:p w:rsidR="009927B6" w:rsidRPr="009927B6" w:rsidRDefault="009927B6" w:rsidP="009927B6">
      <w:pPr>
        <w:widowControl w:val="0"/>
        <w:numPr>
          <w:ilvl w:val="1"/>
          <w:numId w:val="18"/>
        </w:numPr>
        <w:ind w:left="1260" w:right="173"/>
        <w:rPr>
          <w:rFonts w:ascii="Cambria" w:eastAsia="Cambria" w:hAnsi="Cambria"/>
          <w:color w:val="auto"/>
          <w:sz w:val="22"/>
          <w:szCs w:val="22"/>
        </w:rPr>
      </w:pPr>
      <w:r w:rsidRPr="009927B6">
        <w:rPr>
          <w:rFonts w:ascii="Cambria" w:eastAsia="Cambria" w:hAnsi="Cambria"/>
          <w:color w:val="auto"/>
          <w:sz w:val="22"/>
          <w:szCs w:val="22"/>
        </w:rPr>
        <w:t>The remaining findings are in progress and are on schedule for completion before the end of 2018, as indicated in the Corrective Action Plan.</w:t>
      </w:r>
    </w:p>
    <w:p w:rsidR="009927B6" w:rsidRPr="009927B6" w:rsidRDefault="009927B6" w:rsidP="009927B6">
      <w:pPr>
        <w:ind w:right="173"/>
        <w:rPr>
          <w:rFonts w:ascii="Cambria" w:eastAsia="MS Mincho" w:hAnsi="Cambria"/>
          <w:color w:val="auto"/>
          <w:sz w:val="22"/>
          <w:szCs w:val="22"/>
        </w:rPr>
      </w:pPr>
    </w:p>
    <w:p w:rsidR="009927B6" w:rsidRPr="009927B6" w:rsidRDefault="009927B6" w:rsidP="009927B6">
      <w:pPr>
        <w:widowControl w:val="0"/>
        <w:numPr>
          <w:ilvl w:val="0"/>
          <w:numId w:val="18"/>
        </w:numPr>
        <w:ind w:left="540" w:right="173"/>
        <w:rPr>
          <w:rFonts w:ascii="Cambria" w:eastAsia="Cambria" w:hAnsi="Cambria"/>
          <w:color w:val="auto"/>
          <w:sz w:val="22"/>
          <w:szCs w:val="22"/>
        </w:rPr>
      </w:pPr>
      <w:r w:rsidRPr="009927B6">
        <w:rPr>
          <w:rFonts w:ascii="Cambria" w:eastAsia="Cambria" w:hAnsi="Cambria"/>
          <w:color w:val="auto"/>
          <w:sz w:val="22"/>
          <w:szCs w:val="22"/>
        </w:rPr>
        <w:t>FY2017 findings:</w:t>
      </w:r>
    </w:p>
    <w:p w:rsidR="009927B6" w:rsidRPr="009927B6" w:rsidRDefault="009927B6" w:rsidP="009927B6">
      <w:pPr>
        <w:widowControl w:val="0"/>
        <w:numPr>
          <w:ilvl w:val="1"/>
          <w:numId w:val="18"/>
        </w:numPr>
        <w:ind w:left="1260" w:right="173"/>
        <w:rPr>
          <w:rFonts w:ascii="Cambria" w:eastAsia="Cambria" w:hAnsi="Cambria"/>
          <w:color w:val="auto"/>
          <w:sz w:val="22"/>
          <w:szCs w:val="22"/>
        </w:rPr>
      </w:pPr>
      <w:r w:rsidRPr="009927B6">
        <w:rPr>
          <w:rFonts w:ascii="Cambria" w:eastAsia="Cambria" w:hAnsi="Cambria"/>
          <w:color w:val="auto"/>
          <w:sz w:val="22"/>
          <w:szCs w:val="22"/>
        </w:rPr>
        <w:t>4 of 11 findings have been corrected</w:t>
      </w:r>
    </w:p>
    <w:p w:rsidR="009927B6" w:rsidRPr="009927B6" w:rsidRDefault="009927B6" w:rsidP="009927B6">
      <w:pPr>
        <w:widowControl w:val="0"/>
        <w:numPr>
          <w:ilvl w:val="1"/>
          <w:numId w:val="18"/>
        </w:numPr>
        <w:ind w:left="1260" w:right="173"/>
        <w:rPr>
          <w:rFonts w:ascii="Cambria" w:eastAsia="Cambria" w:hAnsi="Cambria"/>
          <w:color w:val="auto"/>
          <w:sz w:val="22"/>
          <w:szCs w:val="22"/>
        </w:rPr>
      </w:pPr>
      <w:r w:rsidRPr="009927B6">
        <w:rPr>
          <w:rFonts w:ascii="Cambria" w:eastAsia="Cambria" w:hAnsi="Cambria"/>
          <w:color w:val="auto"/>
          <w:sz w:val="22"/>
          <w:szCs w:val="22"/>
        </w:rPr>
        <w:t>The remaining items are all in progress and are scheduled for completion during the current fiscal year (FY2019), as indicated in the Corrective Action Plan.</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b/>
          <w:color w:val="auto"/>
          <w:sz w:val="22"/>
          <w:szCs w:val="22"/>
        </w:rPr>
        <w:t>The Path Forward</w:t>
      </w: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During the 2018 Virginia General Assembly session, Richard Bland College requested additional funding to address the audit findings. As shown in the final biennial budget for FY2019/FY2020, the College received appropriations of $706,070 and seven positions in FY2019 and $729,350 and seven positions in FY20 to address the financial management and operations recommendations of the Auditor of Public Accounts</w:t>
      </w:r>
    </w:p>
    <w:p w:rsidR="009927B6" w:rsidRPr="009927B6" w:rsidRDefault="009927B6" w:rsidP="009927B6">
      <w:pPr>
        <w:ind w:left="180" w:right="173"/>
        <w:rPr>
          <w:rFonts w:ascii="Cambria" w:eastAsia="MS Mincho" w:hAnsi="Cambria"/>
          <w:color w:val="auto"/>
          <w:sz w:val="22"/>
          <w:szCs w:val="22"/>
        </w:rPr>
      </w:pPr>
    </w:p>
    <w:p w:rsidR="009927B6" w:rsidRPr="009927B6" w:rsidRDefault="009927B6" w:rsidP="009927B6">
      <w:pPr>
        <w:ind w:left="180" w:right="173"/>
        <w:rPr>
          <w:rFonts w:ascii="Cambria" w:eastAsia="MS Mincho" w:hAnsi="Cambria"/>
          <w:color w:val="auto"/>
          <w:sz w:val="22"/>
          <w:szCs w:val="22"/>
        </w:rPr>
      </w:pPr>
      <w:r w:rsidRPr="009927B6">
        <w:rPr>
          <w:rFonts w:ascii="Cambria" w:eastAsia="MS Mincho" w:hAnsi="Cambria"/>
          <w:color w:val="auto"/>
          <w:sz w:val="22"/>
          <w:szCs w:val="22"/>
        </w:rPr>
        <w:t xml:space="preserve">In addition, RBC requested a Quality Assurance Review by the Virginia Department of Accounts to evaluate its internal controls and to provide recommendations to improve internal operations.  As part of that review, RBC has placed renewed emphasis on implementing internal control practices that are consistent with the Commonwealth’s Agency Risk Management and Internal Controls Standards (ARMICS).  The implementation of ARMICS at the College will involve an annual assessment of the College’s financial control systems in order to provide reasonable assurance of the College’s fiscal processes, compliance with laws and regulations, and its stewardship over the assets appropriated to the College by the Commonwealth. </w:t>
      </w:r>
    </w:p>
    <w:p w:rsidR="009927B6" w:rsidRPr="009927B6" w:rsidRDefault="009927B6" w:rsidP="009927B6">
      <w:pPr>
        <w:ind w:left="180" w:right="173"/>
        <w:rPr>
          <w:rFonts w:ascii="Cambria" w:eastAsia="MS Mincho" w:hAnsi="Cambria"/>
          <w:color w:val="auto"/>
          <w:sz w:val="24"/>
          <w:szCs w:val="24"/>
        </w:rPr>
      </w:pPr>
    </w:p>
    <w:p w:rsidR="009927B6" w:rsidRPr="009927B6" w:rsidRDefault="009927B6" w:rsidP="009927B6">
      <w:pPr>
        <w:ind w:left="180" w:right="173"/>
        <w:rPr>
          <w:rFonts w:ascii="Cambria" w:eastAsia="MS Mincho" w:hAnsi="Cambria"/>
          <w:color w:val="auto"/>
          <w:sz w:val="24"/>
          <w:szCs w:val="24"/>
        </w:rPr>
      </w:pPr>
      <w:r w:rsidRPr="009927B6">
        <w:rPr>
          <w:rFonts w:ascii="Cambria" w:eastAsia="MS Mincho" w:hAnsi="Cambria"/>
          <w:color w:val="auto"/>
          <w:sz w:val="24"/>
          <w:szCs w:val="24"/>
        </w:rPr>
        <w:t>Sincerely,</w:t>
      </w:r>
    </w:p>
    <w:p w:rsidR="009927B6" w:rsidRPr="009927B6" w:rsidRDefault="009927B6" w:rsidP="009927B6">
      <w:pPr>
        <w:ind w:left="180" w:right="173"/>
        <w:rPr>
          <w:rFonts w:ascii="Cambria" w:eastAsia="MS Mincho" w:hAnsi="Cambria"/>
          <w:color w:val="auto"/>
          <w:sz w:val="24"/>
          <w:szCs w:val="24"/>
        </w:rPr>
      </w:pPr>
      <w:r w:rsidRPr="009927B6">
        <w:rPr>
          <w:rFonts w:ascii="Cambria" w:eastAsia="MS Mincho" w:hAnsi="Cambria"/>
          <w:noProof/>
          <w:color w:val="auto"/>
          <w:sz w:val="24"/>
          <w:szCs w:val="24"/>
        </w:rPr>
        <w:drawing>
          <wp:inline distT="0" distB="0" distL="0" distR="0" wp14:anchorId="1444195D" wp14:editId="138DCA9F">
            <wp:extent cx="2025360" cy="449580"/>
            <wp:effectExtent l="0" t="0" r="0" b="7620"/>
            <wp:docPr id="13" name="Picture 0" descr="Signature for the president of Richard Bland College - Debbie Sydow" title="President Sydow'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A.tif"/>
                    <pic:cNvPicPr/>
                  </pic:nvPicPr>
                  <pic:blipFill>
                    <a:blip r:embed="rId33" cstate="print"/>
                    <a:stretch>
                      <a:fillRect/>
                    </a:stretch>
                  </pic:blipFill>
                  <pic:spPr>
                    <a:xfrm>
                      <a:off x="0" y="0"/>
                      <a:ext cx="2135715" cy="474076"/>
                    </a:xfrm>
                    <a:prstGeom prst="rect">
                      <a:avLst/>
                    </a:prstGeom>
                  </pic:spPr>
                </pic:pic>
              </a:graphicData>
            </a:graphic>
          </wp:inline>
        </w:drawing>
      </w:r>
    </w:p>
    <w:p w:rsidR="009927B6" w:rsidRPr="009927B6" w:rsidRDefault="009927B6" w:rsidP="009927B6">
      <w:pPr>
        <w:ind w:right="173" w:firstLine="180"/>
        <w:rPr>
          <w:rFonts w:ascii="Cambria" w:eastAsia="MS Mincho" w:hAnsi="Cambria"/>
          <w:color w:val="auto"/>
          <w:sz w:val="24"/>
          <w:szCs w:val="24"/>
        </w:rPr>
      </w:pPr>
      <w:r w:rsidRPr="009927B6">
        <w:rPr>
          <w:rFonts w:ascii="Cambria" w:eastAsia="MS Mincho" w:hAnsi="Cambria"/>
          <w:color w:val="auto"/>
          <w:sz w:val="24"/>
          <w:szCs w:val="24"/>
        </w:rPr>
        <w:t>Debbie L. Sydow, Ph.D., President</w:t>
      </w:r>
    </w:p>
    <w:p w:rsidR="009927B6" w:rsidRDefault="009927B6" w:rsidP="009927B6">
      <w:pPr>
        <w:spacing w:before="100" w:beforeAutospacing="1" w:after="100" w:afterAutospacing="1"/>
        <w:rPr>
          <w:rFonts w:ascii="Arial" w:hAnsi="Arial" w:cs="Arial"/>
          <w:color w:val="000000"/>
          <w:sz w:val="24"/>
          <w:szCs w:val="24"/>
        </w:rPr>
      </w:pPr>
    </w:p>
    <w:p w:rsidR="009927B6" w:rsidRPr="00DD7626" w:rsidRDefault="009927B6" w:rsidP="009927B6">
      <w:pPr>
        <w:spacing w:before="100" w:beforeAutospacing="1" w:after="100" w:afterAutospacing="1"/>
        <w:rPr>
          <w:rFonts w:ascii="Arial" w:hAnsi="Arial" w:cs="Arial"/>
          <w:color w:val="000000"/>
          <w:sz w:val="24"/>
          <w:szCs w:val="24"/>
        </w:rPr>
      </w:pPr>
    </w:p>
    <w:sectPr w:rsidR="009927B6" w:rsidRPr="00DD7626" w:rsidSect="004B5F35">
      <w:pgSz w:w="12240" w:h="15840" w:code="1"/>
      <w:pgMar w:top="1296" w:right="1152" w:bottom="720" w:left="1800" w:header="1440" w:footer="720" w:gutter="0"/>
      <w:pgNumType w:start="4"/>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1E" w:rsidRDefault="00BC221E">
      <w:r>
        <w:separator/>
      </w:r>
    </w:p>
  </w:endnote>
  <w:endnote w:type="continuationSeparator" w:id="0">
    <w:p w:rsidR="00BC221E" w:rsidRDefault="00BC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DF" w:rsidRPr="00F8606C" w:rsidRDefault="007859DF" w:rsidP="00555A52">
    <w:pPr>
      <w:pStyle w:val="Footer"/>
      <w:tabs>
        <w:tab w:val="clear" w:pos="4320"/>
        <w:tab w:val="clear" w:pos="8640"/>
        <w:tab w:val="left" w:pos="-4590"/>
        <w:tab w:val="left" w:pos="-1260"/>
        <w:tab w:val="center" w:pos="4680"/>
        <w:tab w:val="right" w:pos="9180"/>
        <w:tab w:val="right" w:pos="12780"/>
        <w:tab w:val="right" w:pos="13230"/>
        <w:tab w:val="left" w:pos="15210"/>
      </w:tabs>
      <w:rPr>
        <w:rFonts w:ascii="Arial" w:hAnsi="Arial" w:cs="Arial"/>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1E" w:rsidRDefault="00BC221E">
      <w:r>
        <w:separator/>
      </w:r>
    </w:p>
  </w:footnote>
  <w:footnote w:type="continuationSeparator" w:id="0">
    <w:p w:rsidR="00BC221E" w:rsidRDefault="00BC221E">
      <w:r>
        <w:continuationSeparator/>
      </w:r>
    </w:p>
  </w:footnote>
  <w:footnote w:id="1">
    <w:p w:rsidR="002D3E71" w:rsidRPr="00F0098D" w:rsidRDefault="002D3E71" w:rsidP="002D3E71">
      <w:pPr>
        <w:pStyle w:val="FootnoteText"/>
        <w:rPr>
          <w:rFonts w:ascii="Arial" w:hAnsi="Arial" w:cs="Arial"/>
          <w:sz w:val="18"/>
          <w:szCs w:val="18"/>
        </w:rPr>
      </w:pPr>
      <w:r w:rsidRPr="00F0098D">
        <w:rPr>
          <w:rStyle w:val="FootnoteReference"/>
          <w:rFonts w:ascii="Arial" w:hAnsi="Arial" w:cs="Arial"/>
          <w:sz w:val="18"/>
          <w:szCs w:val="18"/>
        </w:rPr>
        <w:footnoteRef/>
      </w:r>
      <w:r w:rsidRPr="00F0098D">
        <w:rPr>
          <w:rFonts w:ascii="Arial" w:hAnsi="Arial" w:cs="Arial"/>
          <w:sz w:val="18"/>
          <w:szCs w:val="18"/>
          <w:vertAlign w:val="superscript"/>
        </w:rPr>
        <w:t>, 2, 3</w:t>
      </w:r>
      <w:r w:rsidRPr="00F0098D">
        <w:rPr>
          <w:rFonts w:ascii="Arial" w:hAnsi="Arial" w:cs="Arial"/>
          <w:sz w:val="18"/>
          <w:szCs w:val="18"/>
        </w:rPr>
        <w:t xml:space="preserve"> </w:t>
      </w:r>
      <w:hyperlink r:id="rId1" w:history="1">
        <w:r w:rsidRPr="00F0098D">
          <w:rPr>
            <w:rStyle w:val="Hyperlink"/>
            <w:rFonts w:ascii="Arial" w:hAnsi="Arial" w:cs="Arial"/>
            <w:sz w:val="18"/>
            <w:szCs w:val="18"/>
          </w:rPr>
          <w:t>Information for 2018 Biennial Assessment of Six General Performance Measures</w:t>
        </w:r>
      </w:hyperlink>
      <w:r w:rsidRPr="00F0098D">
        <w:rPr>
          <w:rFonts w:ascii="Arial" w:hAnsi="Arial" w:cs="Arial"/>
          <w:sz w:val="18"/>
          <w:szCs w:val="18"/>
        </w:rPr>
        <w:t xml:space="preserve">,  </w:t>
      </w:r>
      <w:r w:rsidRPr="00F0098D">
        <w:rPr>
          <w:rFonts w:ascii="Arial" w:hAnsi="Arial" w:cs="Arial"/>
          <w:sz w:val="18"/>
          <w:szCs w:val="18"/>
          <w:shd w:val="clear" w:color="auto" w:fill="FFFFFF"/>
        </w:rPr>
        <w:t>www.schev.edu/docs/default-source/institution-section/...</w:t>
      </w:r>
    </w:p>
  </w:footnote>
  <w:footnote w:id="2">
    <w:p w:rsidR="002D3E71" w:rsidRPr="002811D9" w:rsidRDefault="002D3E71" w:rsidP="002D3E71">
      <w:pPr>
        <w:pStyle w:val="FootnoteText"/>
      </w:pPr>
      <w:r>
        <w:rPr>
          <w:rStyle w:val="FootnoteReference"/>
        </w:rPr>
        <w:footnoteRef/>
      </w:r>
      <w:r>
        <w:t xml:space="preserve"> </w:t>
      </w:r>
      <w:r w:rsidRPr="004F3BC9">
        <w:rPr>
          <w:rFonts w:ascii="Arial" w:eastAsia="Times New Roman" w:hAnsi="Arial" w:cs="Arial"/>
          <w:sz w:val="18"/>
          <w:szCs w:val="18"/>
        </w:rPr>
        <w:t>NSU’s institutional research analyst, Mr. Ephraim Bennett, was able to reproduce the number count of 346 for 2015-2016 and 2016-2017; however, he was not able to see how SCHEV reports a number count of 447 for 2010-2011.  This was brought to SCHEV’s attention and was corrected to 399, corroborating Mr. Bennett’s calculation.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BF"/>
    <w:multiLevelType w:val="hybridMultilevel"/>
    <w:tmpl w:val="EAB48C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4624328"/>
    <w:multiLevelType w:val="hybridMultilevel"/>
    <w:tmpl w:val="90F0A8E4"/>
    <w:lvl w:ilvl="0" w:tplc="9DE271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A557BD"/>
    <w:multiLevelType w:val="hybridMultilevel"/>
    <w:tmpl w:val="8F3A1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104C4"/>
    <w:multiLevelType w:val="hybridMultilevel"/>
    <w:tmpl w:val="A6E40B1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E13737E"/>
    <w:multiLevelType w:val="hybridMultilevel"/>
    <w:tmpl w:val="42D65CF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0896BCE"/>
    <w:multiLevelType w:val="hybridMultilevel"/>
    <w:tmpl w:val="A3DC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72BE9"/>
    <w:multiLevelType w:val="hybridMultilevel"/>
    <w:tmpl w:val="81A0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016FF"/>
    <w:multiLevelType w:val="hybridMultilevel"/>
    <w:tmpl w:val="B04A9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859B1"/>
    <w:multiLevelType w:val="hybridMultilevel"/>
    <w:tmpl w:val="3E4A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135EC"/>
    <w:multiLevelType w:val="hybridMultilevel"/>
    <w:tmpl w:val="DE667EFC"/>
    <w:lvl w:ilvl="0" w:tplc="E3943BDA">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6B222B"/>
    <w:multiLevelType w:val="hybridMultilevel"/>
    <w:tmpl w:val="2B744E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A04110"/>
    <w:multiLevelType w:val="hybridMultilevel"/>
    <w:tmpl w:val="71847738"/>
    <w:lvl w:ilvl="0" w:tplc="FF26DAC6">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1276F8F"/>
    <w:multiLevelType w:val="hybridMultilevel"/>
    <w:tmpl w:val="2A2A126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64320B9B"/>
    <w:multiLevelType w:val="hybridMultilevel"/>
    <w:tmpl w:val="E266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E7294"/>
    <w:multiLevelType w:val="hybridMultilevel"/>
    <w:tmpl w:val="B7AE1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41AC2"/>
    <w:multiLevelType w:val="hybridMultilevel"/>
    <w:tmpl w:val="8694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57781"/>
    <w:multiLevelType w:val="hybridMultilevel"/>
    <w:tmpl w:val="B53C5D2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E6661BE"/>
    <w:multiLevelType w:val="hybridMultilevel"/>
    <w:tmpl w:val="05A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11"/>
  </w:num>
  <w:num w:numId="6">
    <w:abstractNumId w:val="3"/>
  </w:num>
  <w:num w:numId="7">
    <w:abstractNumId w:val="4"/>
  </w:num>
  <w:num w:numId="8">
    <w:abstractNumId w:val="10"/>
  </w:num>
  <w:num w:numId="9">
    <w:abstractNumId w:val="13"/>
  </w:num>
  <w:num w:numId="10">
    <w:abstractNumId w:val="15"/>
  </w:num>
  <w:num w:numId="11">
    <w:abstractNumId w:val="12"/>
  </w:num>
  <w:num w:numId="12">
    <w:abstractNumId w:val="7"/>
  </w:num>
  <w:num w:numId="13">
    <w:abstractNumId w:val="2"/>
  </w:num>
  <w:num w:numId="14">
    <w:abstractNumId w:val="5"/>
  </w:num>
  <w:num w:numId="15">
    <w:abstractNumId w:val="17"/>
  </w:num>
  <w:num w:numId="16">
    <w:abstractNumId w:val="6"/>
  </w:num>
  <w:num w:numId="17">
    <w:abstractNumId w:val="14"/>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17"/>
    <w:rsid w:val="00002538"/>
    <w:rsid w:val="00004B5E"/>
    <w:rsid w:val="00007FC2"/>
    <w:rsid w:val="0001289D"/>
    <w:rsid w:val="000156B7"/>
    <w:rsid w:val="000179F3"/>
    <w:rsid w:val="000316FB"/>
    <w:rsid w:val="00032870"/>
    <w:rsid w:val="000328F6"/>
    <w:rsid w:val="000440C7"/>
    <w:rsid w:val="00045411"/>
    <w:rsid w:val="00047B4F"/>
    <w:rsid w:val="000503C4"/>
    <w:rsid w:val="00053FA6"/>
    <w:rsid w:val="00054E95"/>
    <w:rsid w:val="00055E13"/>
    <w:rsid w:val="00061C99"/>
    <w:rsid w:val="0006786A"/>
    <w:rsid w:val="00067BB4"/>
    <w:rsid w:val="000701B5"/>
    <w:rsid w:val="000720E2"/>
    <w:rsid w:val="00084F74"/>
    <w:rsid w:val="000976AF"/>
    <w:rsid w:val="000A2F82"/>
    <w:rsid w:val="000A61A3"/>
    <w:rsid w:val="000A7789"/>
    <w:rsid w:val="000B2BF7"/>
    <w:rsid w:val="000B6953"/>
    <w:rsid w:val="000B7725"/>
    <w:rsid w:val="000C0CEB"/>
    <w:rsid w:val="000C5A90"/>
    <w:rsid w:val="000C722B"/>
    <w:rsid w:val="000C741F"/>
    <w:rsid w:val="000D4CAD"/>
    <w:rsid w:val="000E1B45"/>
    <w:rsid w:val="000E3893"/>
    <w:rsid w:val="000E696F"/>
    <w:rsid w:val="00111642"/>
    <w:rsid w:val="00113485"/>
    <w:rsid w:val="001259AE"/>
    <w:rsid w:val="00125CDC"/>
    <w:rsid w:val="001265E8"/>
    <w:rsid w:val="0015052E"/>
    <w:rsid w:val="001528A4"/>
    <w:rsid w:val="00157BF3"/>
    <w:rsid w:val="00162BFA"/>
    <w:rsid w:val="00175898"/>
    <w:rsid w:val="00177649"/>
    <w:rsid w:val="0018143D"/>
    <w:rsid w:val="0018372D"/>
    <w:rsid w:val="00185142"/>
    <w:rsid w:val="001910A0"/>
    <w:rsid w:val="00191D57"/>
    <w:rsid w:val="00193382"/>
    <w:rsid w:val="001B12D6"/>
    <w:rsid w:val="001B46A3"/>
    <w:rsid w:val="001C6A65"/>
    <w:rsid w:val="001C6E11"/>
    <w:rsid w:val="001D4512"/>
    <w:rsid w:val="001E641F"/>
    <w:rsid w:val="001E6FA0"/>
    <w:rsid w:val="001E7387"/>
    <w:rsid w:val="001F39C3"/>
    <w:rsid w:val="001F5657"/>
    <w:rsid w:val="001F6593"/>
    <w:rsid w:val="002158F1"/>
    <w:rsid w:val="0021626B"/>
    <w:rsid w:val="002230B3"/>
    <w:rsid w:val="00235881"/>
    <w:rsid w:val="00243D00"/>
    <w:rsid w:val="00245903"/>
    <w:rsid w:val="00246349"/>
    <w:rsid w:val="00246B42"/>
    <w:rsid w:val="00270AD3"/>
    <w:rsid w:val="00277C94"/>
    <w:rsid w:val="002858FC"/>
    <w:rsid w:val="00286A15"/>
    <w:rsid w:val="002901F5"/>
    <w:rsid w:val="002A43A6"/>
    <w:rsid w:val="002A662B"/>
    <w:rsid w:val="002B30BB"/>
    <w:rsid w:val="002B508D"/>
    <w:rsid w:val="002B69E4"/>
    <w:rsid w:val="002B70B5"/>
    <w:rsid w:val="002C1B3E"/>
    <w:rsid w:val="002C31F4"/>
    <w:rsid w:val="002C3D85"/>
    <w:rsid w:val="002D3E71"/>
    <w:rsid w:val="002E287A"/>
    <w:rsid w:val="002E3D38"/>
    <w:rsid w:val="002E6BA9"/>
    <w:rsid w:val="002E7F13"/>
    <w:rsid w:val="002F0BE5"/>
    <w:rsid w:val="002F1FE6"/>
    <w:rsid w:val="002F2FCD"/>
    <w:rsid w:val="00303DFE"/>
    <w:rsid w:val="00307700"/>
    <w:rsid w:val="003311CB"/>
    <w:rsid w:val="003364D7"/>
    <w:rsid w:val="003369C9"/>
    <w:rsid w:val="003516D0"/>
    <w:rsid w:val="00366157"/>
    <w:rsid w:val="003709CD"/>
    <w:rsid w:val="00374721"/>
    <w:rsid w:val="003769D2"/>
    <w:rsid w:val="003919DC"/>
    <w:rsid w:val="00393905"/>
    <w:rsid w:val="003A182A"/>
    <w:rsid w:val="003A1924"/>
    <w:rsid w:val="003A273D"/>
    <w:rsid w:val="003A47C4"/>
    <w:rsid w:val="003A4D9B"/>
    <w:rsid w:val="003B06A1"/>
    <w:rsid w:val="003B2B4A"/>
    <w:rsid w:val="003C03BB"/>
    <w:rsid w:val="003C314F"/>
    <w:rsid w:val="003D1394"/>
    <w:rsid w:val="003D24AD"/>
    <w:rsid w:val="003D6155"/>
    <w:rsid w:val="003E0101"/>
    <w:rsid w:val="003E030F"/>
    <w:rsid w:val="003E2BD7"/>
    <w:rsid w:val="003E3C67"/>
    <w:rsid w:val="003F030F"/>
    <w:rsid w:val="003F1A9B"/>
    <w:rsid w:val="00400F61"/>
    <w:rsid w:val="00403F67"/>
    <w:rsid w:val="00407917"/>
    <w:rsid w:val="00413247"/>
    <w:rsid w:val="00421A5E"/>
    <w:rsid w:val="004261BB"/>
    <w:rsid w:val="00426273"/>
    <w:rsid w:val="00430FD0"/>
    <w:rsid w:val="0043181F"/>
    <w:rsid w:val="00433981"/>
    <w:rsid w:val="00434AC8"/>
    <w:rsid w:val="00437920"/>
    <w:rsid w:val="004421F7"/>
    <w:rsid w:val="0045268A"/>
    <w:rsid w:val="00455224"/>
    <w:rsid w:val="004572FB"/>
    <w:rsid w:val="0046111A"/>
    <w:rsid w:val="00463F51"/>
    <w:rsid w:val="00465B73"/>
    <w:rsid w:val="004776E1"/>
    <w:rsid w:val="00480C0B"/>
    <w:rsid w:val="00480ED9"/>
    <w:rsid w:val="00483E9E"/>
    <w:rsid w:val="004975C3"/>
    <w:rsid w:val="004A6E13"/>
    <w:rsid w:val="004B52C3"/>
    <w:rsid w:val="004B5F35"/>
    <w:rsid w:val="004C35C1"/>
    <w:rsid w:val="004D126C"/>
    <w:rsid w:val="004D36EC"/>
    <w:rsid w:val="004D47D3"/>
    <w:rsid w:val="004D52E1"/>
    <w:rsid w:val="004D5598"/>
    <w:rsid w:val="004D61F3"/>
    <w:rsid w:val="004E6932"/>
    <w:rsid w:val="004F293E"/>
    <w:rsid w:val="004F49A3"/>
    <w:rsid w:val="004F6E41"/>
    <w:rsid w:val="004F7AC3"/>
    <w:rsid w:val="00504F36"/>
    <w:rsid w:val="005078C1"/>
    <w:rsid w:val="00507F61"/>
    <w:rsid w:val="005100B7"/>
    <w:rsid w:val="00510BA6"/>
    <w:rsid w:val="0051124F"/>
    <w:rsid w:val="00513713"/>
    <w:rsid w:val="00515F1F"/>
    <w:rsid w:val="0052541B"/>
    <w:rsid w:val="00525BAD"/>
    <w:rsid w:val="00526394"/>
    <w:rsid w:val="005370EE"/>
    <w:rsid w:val="00546902"/>
    <w:rsid w:val="00551740"/>
    <w:rsid w:val="00555A52"/>
    <w:rsid w:val="00555B34"/>
    <w:rsid w:val="00570F03"/>
    <w:rsid w:val="005745CC"/>
    <w:rsid w:val="005824E0"/>
    <w:rsid w:val="005979E0"/>
    <w:rsid w:val="005A76CB"/>
    <w:rsid w:val="005B018A"/>
    <w:rsid w:val="005B3B69"/>
    <w:rsid w:val="005B6232"/>
    <w:rsid w:val="005B62A5"/>
    <w:rsid w:val="005B6713"/>
    <w:rsid w:val="005D098E"/>
    <w:rsid w:val="005E3AC2"/>
    <w:rsid w:val="005F0DDC"/>
    <w:rsid w:val="005F1CAD"/>
    <w:rsid w:val="005F3760"/>
    <w:rsid w:val="00601F2C"/>
    <w:rsid w:val="006149E5"/>
    <w:rsid w:val="00615383"/>
    <w:rsid w:val="006161B8"/>
    <w:rsid w:val="00623AB7"/>
    <w:rsid w:val="006240B6"/>
    <w:rsid w:val="00626F75"/>
    <w:rsid w:val="00627494"/>
    <w:rsid w:val="006370BE"/>
    <w:rsid w:val="00637DF1"/>
    <w:rsid w:val="00642798"/>
    <w:rsid w:val="006456A9"/>
    <w:rsid w:val="006500F1"/>
    <w:rsid w:val="0065188A"/>
    <w:rsid w:val="006526D7"/>
    <w:rsid w:val="00656AEF"/>
    <w:rsid w:val="00656FA1"/>
    <w:rsid w:val="00657BD5"/>
    <w:rsid w:val="00664116"/>
    <w:rsid w:val="00671279"/>
    <w:rsid w:val="0067257D"/>
    <w:rsid w:val="0067320B"/>
    <w:rsid w:val="00677A3B"/>
    <w:rsid w:val="006A03CD"/>
    <w:rsid w:val="006A316D"/>
    <w:rsid w:val="006A35EF"/>
    <w:rsid w:val="006B0819"/>
    <w:rsid w:val="006B0C7D"/>
    <w:rsid w:val="006B5DB9"/>
    <w:rsid w:val="006B6D4C"/>
    <w:rsid w:val="006C1185"/>
    <w:rsid w:val="006C3763"/>
    <w:rsid w:val="006D0B00"/>
    <w:rsid w:val="006E09D8"/>
    <w:rsid w:val="006E14F7"/>
    <w:rsid w:val="006E2A20"/>
    <w:rsid w:val="006E672F"/>
    <w:rsid w:val="006F02EC"/>
    <w:rsid w:val="0071094B"/>
    <w:rsid w:val="007115D7"/>
    <w:rsid w:val="00720DD3"/>
    <w:rsid w:val="00731B04"/>
    <w:rsid w:val="007432A1"/>
    <w:rsid w:val="007461E7"/>
    <w:rsid w:val="00754502"/>
    <w:rsid w:val="007604AC"/>
    <w:rsid w:val="00761CF6"/>
    <w:rsid w:val="007634A5"/>
    <w:rsid w:val="00776F9D"/>
    <w:rsid w:val="00781995"/>
    <w:rsid w:val="0078437F"/>
    <w:rsid w:val="00785932"/>
    <w:rsid w:val="007859DF"/>
    <w:rsid w:val="00791EAA"/>
    <w:rsid w:val="007958C1"/>
    <w:rsid w:val="00796C11"/>
    <w:rsid w:val="007A126C"/>
    <w:rsid w:val="007A1D24"/>
    <w:rsid w:val="007A1F13"/>
    <w:rsid w:val="007A25F7"/>
    <w:rsid w:val="007A3C17"/>
    <w:rsid w:val="007B028D"/>
    <w:rsid w:val="007B08E7"/>
    <w:rsid w:val="007C088B"/>
    <w:rsid w:val="007C30EE"/>
    <w:rsid w:val="007D109A"/>
    <w:rsid w:val="007D36D8"/>
    <w:rsid w:val="007D536A"/>
    <w:rsid w:val="007D7346"/>
    <w:rsid w:val="007E6062"/>
    <w:rsid w:val="007F1958"/>
    <w:rsid w:val="007F2E31"/>
    <w:rsid w:val="007F54B7"/>
    <w:rsid w:val="008168A8"/>
    <w:rsid w:val="0082303C"/>
    <w:rsid w:val="008274B9"/>
    <w:rsid w:val="00834302"/>
    <w:rsid w:val="008410CE"/>
    <w:rsid w:val="00844B36"/>
    <w:rsid w:val="00846C7B"/>
    <w:rsid w:val="00847ABC"/>
    <w:rsid w:val="0085279C"/>
    <w:rsid w:val="00861BDB"/>
    <w:rsid w:val="00864C86"/>
    <w:rsid w:val="008659CE"/>
    <w:rsid w:val="00870F17"/>
    <w:rsid w:val="00872A9D"/>
    <w:rsid w:val="00881321"/>
    <w:rsid w:val="00885C64"/>
    <w:rsid w:val="00885F86"/>
    <w:rsid w:val="00891841"/>
    <w:rsid w:val="008A34C1"/>
    <w:rsid w:val="008B20E9"/>
    <w:rsid w:val="008C223B"/>
    <w:rsid w:val="008D0FEB"/>
    <w:rsid w:val="008D7DBD"/>
    <w:rsid w:val="008E01DD"/>
    <w:rsid w:val="008E4C05"/>
    <w:rsid w:val="008E5806"/>
    <w:rsid w:val="008F27A6"/>
    <w:rsid w:val="008F3C75"/>
    <w:rsid w:val="008F4B79"/>
    <w:rsid w:val="009001CC"/>
    <w:rsid w:val="00904739"/>
    <w:rsid w:val="00904F1B"/>
    <w:rsid w:val="00910850"/>
    <w:rsid w:val="00910C94"/>
    <w:rsid w:val="009227EA"/>
    <w:rsid w:val="00924839"/>
    <w:rsid w:val="00924B57"/>
    <w:rsid w:val="00924D16"/>
    <w:rsid w:val="00926530"/>
    <w:rsid w:val="00927FAA"/>
    <w:rsid w:val="009314BC"/>
    <w:rsid w:val="00935733"/>
    <w:rsid w:val="009432B5"/>
    <w:rsid w:val="009476B6"/>
    <w:rsid w:val="00950C7B"/>
    <w:rsid w:val="00953055"/>
    <w:rsid w:val="00957281"/>
    <w:rsid w:val="009665B8"/>
    <w:rsid w:val="009704E7"/>
    <w:rsid w:val="00971516"/>
    <w:rsid w:val="00974A81"/>
    <w:rsid w:val="009858E8"/>
    <w:rsid w:val="00991A2D"/>
    <w:rsid w:val="009927B6"/>
    <w:rsid w:val="00994164"/>
    <w:rsid w:val="00995F26"/>
    <w:rsid w:val="009A0284"/>
    <w:rsid w:val="009A22E6"/>
    <w:rsid w:val="009A332B"/>
    <w:rsid w:val="009B1A23"/>
    <w:rsid w:val="009B42F3"/>
    <w:rsid w:val="009B4483"/>
    <w:rsid w:val="009B72E9"/>
    <w:rsid w:val="009C4602"/>
    <w:rsid w:val="009C5F77"/>
    <w:rsid w:val="009D0731"/>
    <w:rsid w:val="009D2F2E"/>
    <w:rsid w:val="009D3803"/>
    <w:rsid w:val="009E09BF"/>
    <w:rsid w:val="009E76AA"/>
    <w:rsid w:val="009F14F9"/>
    <w:rsid w:val="009F26F4"/>
    <w:rsid w:val="009F29D0"/>
    <w:rsid w:val="009F5A6A"/>
    <w:rsid w:val="00A01714"/>
    <w:rsid w:val="00A0191E"/>
    <w:rsid w:val="00A0515A"/>
    <w:rsid w:val="00A05BD2"/>
    <w:rsid w:val="00A17984"/>
    <w:rsid w:val="00A2593E"/>
    <w:rsid w:val="00A27EBB"/>
    <w:rsid w:val="00A33A88"/>
    <w:rsid w:val="00A3492F"/>
    <w:rsid w:val="00A46348"/>
    <w:rsid w:val="00A4752A"/>
    <w:rsid w:val="00A51F8B"/>
    <w:rsid w:val="00A52D6B"/>
    <w:rsid w:val="00A56E57"/>
    <w:rsid w:val="00A70358"/>
    <w:rsid w:val="00A70BD2"/>
    <w:rsid w:val="00A83262"/>
    <w:rsid w:val="00A9032E"/>
    <w:rsid w:val="00AB1389"/>
    <w:rsid w:val="00AB27CA"/>
    <w:rsid w:val="00AB413F"/>
    <w:rsid w:val="00AD4C59"/>
    <w:rsid w:val="00AD5711"/>
    <w:rsid w:val="00AE7DC0"/>
    <w:rsid w:val="00AF07FE"/>
    <w:rsid w:val="00AF49DF"/>
    <w:rsid w:val="00AF4BC3"/>
    <w:rsid w:val="00B02826"/>
    <w:rsid w:val="00B05CEF"/>
    <w:rsid w:val="00B169A4"/>
    <w:rsid w:val="00B179F3"/>
    <w:rsid w:val="00B210E1"/>
    <w:rsid w:val="00B21671"/>
    <w:rsid w:val="00B21F71"/>
    <w:rsid w:val="00B26400"/>
    <w:rsid w:val="00B30397"/>
    <w:rsid w:val="00B31F8B"/>
    <w:rsid w:val="00B34D3C"/>
    <w:rsid w:val="00B374ED"/>
    <w:rsid w:val="00B37CB3"/>
    <w:rsid w:val="00B431E8"/>
    <w:rsid w:val="00B4433F"/>
    <w:rsid w:val="00B5271E"/>
    <w:rsid w:val="00B52D26"/>
    <w:rsid w:val="00B53FC4"/>
    <w:rsid w:val="00B605B6"/>
    <w:rsid w:val="00B65589"/>
    <w:rsid w:val="00B80DF6"/>
    <w:rsid w:val="00B84EF9"/>
    <w:rsid w:val="00B867BD"/>
    <w:rsid w:val="00B90032"/>
    <w:rsid w:val="00B90B51"/>
    <w:rsid w:val="00B9659F"/>
    <w:rsid w:val="00B9775C"/>
    <w:rsid w:val="00BA2698"/>
    <w:rsid w:val="00BA31A1"/>
    <w:rsid w:val="00BA6117"/>
    <w:rsid w:val="00BA7C7C"/>
    <w:rsid w:val="00BB22DB"/>
    <w:rsid w:val="00BB479A"/>
    <w:rsid w:val="00BB572C"/>
    <w:rsid w:val="00BB69FE"/>
    <w:rsid w:val="00BC0896"/>
    <w:rsid w:val="00BC13EC"/>
    <w:rsid w:val="00BC221E"/>
    <w:rsid w:val="00BC33E2"/>
    <w:rsid w:val="00BD0782"/>
    <w:rsid w:val="00BD241B"/>
    <w:rsid w:val="00BD3BBB"/>
    <w:rsid w:val="00BE6459"/>
    <w:rsid w:val="00BE6F77"/>
    <w:rsid w:val="00BE720D"/>
    <w:rsid w:val="00BF00C8"/>
    <w:rsid w:val="00C03E3C"/>
    <w:rsid w:val="00C03F59"/>
    <w:rsid w:val="00C2144B"/>
    <w:rsid w:val="00C230DF"/>
    <w:rsid w:val="00C264A1"/>
    <w:rsid w:val="00C27068"/>
    <w:rsid w:val="00C35681"/>
    <w:rsid w:val="00C46FC8"/>
    <w:rsid w:val="00C54D41"/>
    <w:rsid w:val="00C62696"/>
    <w:rsid w:val="00C661A3"/>
    <w:rsid w:val="00C70A09"/>
    <w:rsid w:val="00C71317"/>
    <w:rsid w:val="00C740ED"/>
    <w:rsid w:val="00C80901"/>
    <w:rsid w:val="00C81A57"/>
    <w:rsid w:val="00C865D5"/>
    <w:rsid w:val="00C86E4C"/>
    <w:rsid w:val="00C879B0"/>
    <w:rsid w:val="00CA68A8"/>
    <w:rsid w:val="00CA75E5"/>
    <w:rsid w:val="00CB031B"/>
    <w:rsid w:val="00CC3690"/>
    <w:rsid w:val="00CC5048"/>
    <w:rsid w:val="00CC796B"/>
    <w:rsid w:val="00CD08DF"/>
    <w:rsid w:val="00CD26C8"/>
    <w:rsid w:val="00CD2837"/>
    <w:rsid w:val="00CD294A"/>
    <w:rsid w:val="00CD357F"/>
    <w:rsid w:val="00CD6FA5"/>
    <w:rsid w:val="00CF0B5A"/>
    <w:rsid w:val="00CF6A34"/>
    <w:rsid w:val="00CF7FEC"/>
    <w:rsid w:val="00D14396"/>
    <w:rsid w:val="00D144A9"/>
    <w:rsid w:val="00D21FCA"/>
    <w:rsid w:val="00D23DBC"/>
    <w:rsid w:val="00D26E75"/>
    <w:rsid w:val="00D30AD9"/>
    <w:rsid w:val="00D32F44"/>
    <w:rsid w:val="00D34BC7"/>
    <w:rsid w:val="00D409EB"/>
    <w:rsid w:val="00D416BA"/>
    <w:rsid w:val="00D475C5"/>
    <w:rsid w:val="00D57A33"/>
    <w:rsid w:val="00D60411"/>
    <w:rsid w:val="00D71BB9"/>
    <w:rsid w:val="00D73970"/>
    <w:rsid w:val="00D747DE"/>
    <w:rsid w:val="00D75C85"/>
    <w:rsid w:val="00D83E92"/>
    <w:rsid w:val="00D85A3C"/>
    <w:rsid w:val="00D85D87"/>
    <w:rsid w:val="00D85E49"/>
    <w:rsid w:val="00DB230C"/>
    <w:rsid w:val="00DB46BB"/>
    <w:rsid w:val="00DC7DE0"/>
    <w:rsid w:val="00DD0552"/>
    <w:rsid w:val="00DD2188"/>
    <w:rsid w:val="00DD7626"/>
    <w:rsid w:val="00DF007C"/>
    <w:rsid w:val="00DF2449"/>
    <w:rsid w:val="00DF3FBC"/>
    <w:rsid w:val="00DF4586"/>
    <w:rsid w:val="00DF6D51"/>
    <w:rsid w:val="00E0012F"/>
    <w:rsid w:val="00E04466"/>
    <w:rsid w:val="00E04979"/>
    <w:rsid w:val="00E11E56"/>
    <w:rsid w:val="00E135C3"/>
    <w:rsid w:val="00E16ADF"/>
    <w:rsid w:val="00E16B37"/>
    <w:rsid w:val="00E1745B"/>
    <w:rsid w:val="00E2233E"/>
    <w:rsid w:val="00E22CAC"/>
    <w:rsid w:val="00E22E74"/>
    <w:rsid w:val="00E23DC0"/>
    <w:rsid w:val="00E360C4"/>
    <w:rsid w:val="00E42B27"/>
    <w:rsid w:val="00E42D0D"/>
    <w:rsid w:val="00E47750"/>
    <w:rsid w:val="00E47B1D"/>
    <w:rsid w:val="00E51D2D"/>
    <w:rsid w:val="00E53078"/>
    <w:rsid w:val="00E560DF"/>
    <w:rsid w:val="00E56B09"/>
    <w:rsid w:val="00E635AD"/>
    <w:rsid w:val="00E672A0"/>
    <w:rsid w:val="00E7028F"/>
    <w:rsid w:val="00E7166D"/>
    <w:rsid w:val="00E73DE6"/>
    <w:rsid w:val="00E73FAF"/>
    <w:rsid w:val="00E745E2"/>
    <w:rsid w:val="00E76F43"/>
    <w:rsid w:val="00E80685"/>
    <w:rsid w:val="00E8654C"/>
    <w:rsid w:val="00E878F7"/>
    <w:rsid w:val="00E919FF"/>
    <w:rsid w:val="00E931B0"/>
    <w:rsid w:val="00EA2927"/>
    <w:rsid w:val="00EB4C61"/>
    <w:rsid w:val="00EC0026"/>
    <w:rsid w:val="00EC0E51"/>
    <w:rsid w:val="00EC2417"/>
    <w:rsid w:val="00EC39F6"/>
    <w:rsid w:val="00EC7C91"/>
    <w:rsid w:val="00ED57BD"/>
    <w:rsid w:val="00EE5F1D"/>
    <w:rsid w:val="00EF006B"/>
    <w:rsid w:val="00F01ED0"/>
    <w:rsid w:val="00F02A8A"/>
    <w:rsid w:val="00F04870"/>
    <w:rsid w:val="00F308DA"/>
    <w:rsid w:val="00F345BF"/>
    <w:rsid w:val="00F36490"/>
    <w:rsid w:val="00F41332"/>
    <w:rsid w:val="00F50359"/>
    <w:rsid w:val="00F50650"/>
    <w:rsid w:val="00F50DEE"/>
    <w:rsid w:val="00F51600"/>
    <w:rsid w:val="00F51A36"/>
    <w:rsid w:val="00F51D6E"/>
    <w:rsid w:val="00F55FB2"/>
    <w:rsid w:val="00F619C7"/>
    <w:rsid w:val="00F63629"/>
    <w:rsid w:val="00F64D39"/>
    <w:rsid w:val="00F64D67"/>
    <w:rsid w:val="00F66A85"/>
    <w:rsid w:val="00F73FB1"/>
    <w:rsid w:val="00F74D6A"/>
    <w:rsid w:val="00F80D9B"/>
    <w:rsid w:val="00F8606C"/>
    <w:rsid w:val="00F973EE"/>
    <w:rsid w:val="00FA477C"/>
    <w:rsid w:val="00FA5F66"/>
    <w:rsid w:val="00FB1A74"/>
    <w:rsid w:val="00FB3D62"/>
    <w:rsid w:val="00FC37C6"/>
    <w:rsid w:val="00FC7BDC"/>
    <w:rsid w:val="00FD7A67"/>
    <w:rsid w:val="00FE3DBE"/>
    <w:rsid w:val="00FE6448"/>
    <w:rsid w:val="00FF11D0"/>
    <w:rsid w:val="00FF54A4"/>
    <w:rsid w:val="00FF558C"/>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B5"/>
    <w:rPr>
      <w:color w:val="0000FF"/>
      <w:sz w:val="20"/>
      <w:szCs w:val="20"/>
    </w:rPr>
  </w:style>
  <w:style w:type="paragraph" w:styleId="Heading1">
    <w:name w:val="heading 1"/>
    <w:basedOn w:val="Normal"/>
    <w:next w:val="Normal"/>
    <w:link w:val="Heading1Char"/>
    <w:uiPriority w:val="99"/>
    <w:qFormat/>
    <w:rsid w:val="006500F1"/>
    <w:pPr>
      <w:keepNext/>
      <w:tabs>
        <w:tab w:val="left" w:pos="360"/>
      </w:tabs>
      <w:outlineLvl w:val="0"/>
    </w:pPr>
    <w:rPr>
      <w:sz w:val="24"/>
      <w:szCs w:val="24"/>
    </w:rPr>
  </w:style>
  <w:style w:type="paragraph" w:styleId="Heading2">
    <w:name w:val="heading 2"/>
    <w:basedOn w:val="Normal"/>
    <w:next w:val="Normal"/>
    <w:link w:val="Heading2Char"/>
    <w:uiPriority w:val="99"/>
    <w:qFormat/>
    <w:rsid w:val="006500F1"/>
    <w:pPr>
      <w:keepNext/>
      <w:jc w:val="cente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6B7"/>
    <w:rPr>
      <w:rFonts w:ascii="Cambria" w:eastAsia="SimSun" w:hAnsi="Cambria" w:cs="Cambria"/>
      <w:b/>
      <w:bCs/>
      <w:color w:val="0000FF"/>
      <w:kern w:val="32"/>
      <w:sz w:val="32"/>
      <w:szCs w:val="32"/>
    </w:rPr>
  </w:style>
  <w:style w:type="character" w:customStyle="1" w:styleId="Heading2Char">
    <w:name w:val="Heading 2 Char"/>
    <w:basedOn w:val="DefaultParagraphFont"/>
    <w:link w:val="Heading2"/>
    <w:uiPriority w:val="99"/>
    <w:semiHidden/>
    <w:locked/>
    <w:rsid w:val="000156B7"/>
    <w:rPr>
      <w:rFonts w:ascii="Cambria" w:eastAsia="SimSun" w:hAnsi="Cambria" w:cs="Cambria"/>
      <w:b/>
      <w:bCs/>
      <w:i/>
      <w:iCs/>
      <w:color w:val="0000FF"/>
      <w:sz w:val="28"/>
      <w:szCs w:val="28"/>
    </w:rPr>
  </w:style>
  <w:style w:type="paragraph" w:styleId="Title">
    <w:name w:val="Title"/>
    <w:basedOn w:val="Normal"/>
    <w:link w:val="TitleChar"/>
    <w:qFormat/>
    <w:rsid w:val="006500F1"/>
    <w:pPr>
      <w:tabs>
        <w:tab w:val="left" w:pos="360"/>
      </w:tabs>
      <w:ind w:firstLine="630"/>
      <w:jc w:val="center"/>
    </w:pPr>
    <w:rPr>
      <w:sz w:val="24"/>
      <w:szCs w:val="24"/>
    </w:rPr>
  </w:style>
  <w:style w:type="character" w:customStyle="1" w:styleId="TitleChar">
    <w:name w:val="Title Char"/>
    <w:basedOn w:val="DefaultParagraphFont"/>
    <w:link w:val="Title"/>
    <w:uiPriority w:val="99"/>
    <w:locked/>
    <w:rsid w:val="000156B7"/>
    <w:rPr>
      <w:rFonts w:ascii="Cambria" w:eastAsia="SimSun" w:hAnsi="Cambria" w:cs="Cambria"/>
      <w:b/>
      <w:bCs/>
      <w:color w:val="0000FF"/>
      <w:kern w:val="28"/>
      <w:sz w:val="32"/>
      <w:szCs w:val="32"/>
    </w:rPr>
  </w:style>
  <w:style w:type="paragraph" w:styleId="Header">
    <w:name w:val="header"/>
    <w:basedOn w:val="Normal"/>
    <w:link w:val="HeaderChar"/>
    <w:uiPriority w:val="99"/>
    <w:rsid w:val="006500F1"/>
    <w:pPr>
      <w:tabs>
        <w:tab w:val="center" w:pos="4320"/>
        <w:tab w:val="right" w:pos="8640"/>
      </w:tabs>
    </w:pPr>
  </w:style>
  <w:style w:type="character" w:customStyle="1" w:styleId="HeaderChar">
    <w:name w:val="Header Char"/>
    <w:basedOn w:val="DefaultParagraphFont"/>
    <w:link w:val="Header"/>
    <w:uiPriority w:val="99"/>
    <w:semiHidden/>
    <w:locked/>
    <w:rsid w:val="000156B7"/>
    <w:rPr>
      <w:color w:val="0000FF"/>
      <w:sz w:val="20"/>
      <w:szCs w:val="20"/>
    </w:rPr>
  </w:style>
  <w:style w:type="paragraph" w:styleId="Footer">
    <w:name w:val="footer"/>
    <w:basedOn w:val="Normal"/>
    <w:link w:val="FooterChar"/>
    <w:uiPriority w:val="99"/>
    <w:rsid w:val="006500F1"/>
    <w:pPr>
      <w:tabs>
        <w:tab w:val="center" w:pos="4320"/>
        <w:tab w:val="right" w:pos="8640"/>
      </w:tabs>
    </w:pPr>
  </w:style>
  <w:style w:type="character" w:customStyle="1" w:styleId="FooterChar">
    <w:name w:val="Footer Char"/>
    <w:basedOn w:val="DefaultParagraphFont"/>
    <w:link w:val="Footer"/>
    <w:uiPriority w:val="99"/>
    <w:semiHidden/>
    <w:locked/>
    <w:rsid w:val="000156B7"/>
    <w:rPr>
      <w:color w:val="0000FF"/>
      <w:sz w:val="20"/>
      <w:szCs w:val="20"/>
    </w:rPr>
  </w:style>
  <w:style w:type="character" w:styleId="PageNumber">
    <w:name w:val="page number"/>
    <w:basedOn w:val="DefaultParagraphFont"/>
    <w:uiPriority w:val="99"/>
    <w:rsid w:val="006500F1"/>
  </w:style>
  <w:style w:type="paragraph" w:styleId="BodyTextIndent">
    <w:name w:val="Body Text Indent"/>
    <w:basedOn w:val="Normal"/>
    <w:link w:val="BodyTextIndentChar"/>
    <w:uiPriority w:val="99"/>
    <w:rsid w:val="006500F1"/>
    <w:pPr>
      <w:ind w:left="720"/>
      <w:jc w:val="both"/>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0156B7"/>
    <w:rPr>
      <w:color w:val="0000FF"/>
      <w:sz w:val="20"/>
      <w:szCs w:val="20"/>
    </w:rPr>
  </w:style>
  <w:style w:type="paragraph" w:styleId="BodyText">
    <w:name w:val="Body Text"/>
    <w:basedOn w:val="Normal"/>
    <w:link w:val="BodyTextChar"/>
    <w:uiPriority w:val="99"/>
    <w:rsid w:val="006500F1"/>
    <w:rPr>
      <w:rFonts w:ascii="Arial Narrow" w:hAnsi="Arial Narrow" w:cs="Arial Narrow"/>
      <w:color w:val="000000"/>
      <w:sz w:val="24"/>
      <w:szCs w:val="24"/>
    </w:rPr>
  </w:style>
  <w:style w:type="character" w:customStyle="1" w:styleId="BodyTextChar">
    <w:name w:val="Body Text Char"/>
    <w:basedOn w:val="DefaultParagraphFont"/>
    <w:link w:val="BodyText"/>
    <w:uiPriority w:val="99"/>
    <w:semiHidden/>
    <w:locked/>
    <w:rsid w:val="000156B7"/>
    <w:rPr>
      <w:color w:val="0000FF"/>
      <w:sz w:val="20"/>
      <w:szCs w:val="20"/>
    </w:rPr>
  </w:style>
  <w:style w:type="paragraph" w:styleId="BodyTextIndent2">
    <w:name w:val="Body Text Indent 2"/>
    <w:basedOn w:val="Normal"/>
    <w:link w:val="BodyTextIndent2Char"/>
    <w:uiPriority w:val="99"/>
    <w:rsid w:val="006500F1"/>
    <w:pPr>
      <w:ind w:left="-18"/>
    </w:pPr>
    <w:rPr>
      <w:rFonts w:ascii="Arial Narrow" w:hAnsi="Arial Narrow" w:cs="Arial Narrow"/>
      <w:color w:val="000000"/>
      <w:sz w:val="24"/>
      <w:szCs w:val="24"/>
    </w:rPr>
  </w:style>
  <w:style w:type="character" w:customStyle="1" w:styleId="BodyTextIndent2Char">
    <w:name w:val="Body Text Indent 2 Char"/>
    <w:basedOn w:val="DefaultParagraphFont"/>
    <w:link w:val="BodyTextIndent2"/>
    <w:uiPriority w:val="99"/>
    <w:semiHidden/>
    <w:locked/>
    <w:rsid w:val="000156B7"/>
    <w:rPr>
      <w:color w:val="0000FF"/>
      <w:sz w:val="20"/>
      <w:szCs w:val="20"/>
    </w:rPr>
  </w:style>
  <w:style w:type="paragraph" w:styleId="BalloonText">
    <w:name w:val="Balloon Text"/>
    <w:basedOn w:val="Normal"/>
    <w:link w:val="BalloonTextChar"/>
    <w:uiPriority w:val="99"/>
    <w:semiHidden/>
    <w:rsid w:val="009001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6B7"/>
    <w:rPr>
      <w:color w:val="0000FF"/>
      <w:sz w:val="2"/>
      <w:szCs w:val="2"/>
    </w:rPr>
  </w:style>
  <w:style w:type="paragraph" w:styleId="DocumentMap">
    <w:name w:val="Document Map"/>
    <w:basedOn w:val="Normal"/>
    <w:link w:val="DocumentMapChar"/>
    <w:uiPriority w:val="99"/>
    <w:semiHidden/>
    <w:rsid w:val="00D6041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156B7"/>
    <w:rPr>
      <w:color w:val="0000FF"/>
      <w:sz w:val="2"/>
      <w:szCs w:val="2"/>
    </w:rPr>
  </w:style>
  <w:style w:type="character" w:styleId="Hyperlink">
    <w:name w:val="Hyperlink"/>
    <w:basedOn w:val="DefaultParagraphFont"/>
    <w:uiPriority w:val="99"/>
    <w:rsid w:val="00F66A85"/>
    <w:rPr>
      <w:color w:val="0000FF"/>
      <w:u w:val="single"/>
    </w:rPr>
  </w:style>
  <w:style w:type="table" w:styleId="TableGrid">
    <w:name w:val="Table Grid"/>
    <w:basedOn w:val="TableNormal"/>
    <w:uiPriority w:val="99"/>
    <w:rsid w:val="000B772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F9D"/>
    <w:pPr>
      <w:ind w:left="720"/>
    </w:pPr>
  </w:style>
  <w:style w:type="paragraph" w:styleId="NormalWeb">
    <w:name w:val="Normal (Web)"/>
    <w:basedOn w:val="Normal"/>
    <w:uiPriority w:val="99"/>
    <w:unhideWhenUsed/>
    <w:rsid w:val="00E672A0"/>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9A22E6"/>
    <w:rPr>
      <w:color w:val="800080" w:themeColor="followedHyperlink"/>
      <w:u w:val="single"/>
    </w:rPr>
  </w:style>
  <w:style w:type="paragraph" w:styleId="FootnoteText">
    <w:name w:val="footnote text"/>
    <w:basedOn w:val="Normal"/>
    <w:link w:val="FootnoteTextChar"/>
    <w:uiPriority w:val="99"/>
    <w:semiHidden/>
    <w:unhideWhenUsed/>
    <w:rsid w:val="00DB46BB"/>
    <w:rPr>
      <w:rFonts w:ascii="Calibri" w:eastAsiaTheme="minorHAnsi" w:hAnsi="Calibri" w:cs="Calibri"/>
      <w:color w:val="auto"/>
    </w:rPr>
  </w:style>
  <w:style w:type="character" w:customStyle="1" w:styleId="FootnoteTextChar">
    <w:name w:val="Footnote Text Char"/>
    <w:basedOn w:val="DefaultParagraphFont"/>
    <w:link w:val="FootnoteText"/>
    <w:uiPriority w:val="99"/>
    <w:semiHidden/>
    <w:rsid w:val="00DB46BB"/>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DB46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B5"/>
    <w:rPr>
      <w:color w:val="0000FF"/>
      <w:sz w:val="20"/>
      <w:szCs w:val="20"/>
    </w:rPr>
  </w:style>
  <w:style w:type="paragraph" w:styleId="Heading1">
    <w:name w:val="heading 1"/>
    <w:basedOn w:val="Normal"/>
    <w:next w:val="Normal"/>
    <w:link w:val="Heading1Char"/>
    <w:uiPriority w:val="99"/>
    <w:qFormat/>
    <w:rsid w:val="006500F1"/>
    <w:pPr>
      <w:keepNext/>
      <w:tabs>
        <w:tab w:val="left" w:pos="360"/>
      </w:tabs>
      <w:outlineLvl w:val="0"/>
    </w:pPr>
    <w:rPr>
      <w:sz w:val="24"/>
      <w:szCs w:val="24"/>
    </w:rPr>
  </w:style>
  <w:style w:type="paragraph" w:styleId="Heading2">
    <w:name w:val="heading 2"/>
    <w:basedOn w:val="Normal"/>
    <w:next w:val="Normal"/>
    <w:link w:val="Heading2Char"/>
    <w:uiPriority w:val="99"/>
    <w:qFormat/>
    <w:rsid w:val="006500F1"/>
    <w:pPr>
      <w:keepNext/>
      <w:jc w:val="cente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6B7"/>
    <w:rPr>
      <w:rFonts w:ascii="Cambria" w:eastAsia="SimSun" w:hAnsi="Cambria" w:cs="Cambria"/>
      <w:b/>
      <w:bCs/>
      <w:color w:val="0000FF"/>
      <w:kern w:val="32"/>
      <w:sz w:val="32"/>
      <w:szCs w:val="32"/>
    </w:rPr>
  </w:style>
  <w:style w:type="character" w:customStyle="1" w:styleId="Heading2Char">
    <w:name w:val="Heading 2 Char"/>
    <w:basedOn w:val="DefaultParagraphFont"/>
    <w:link w:val="Heading2"/>
    <w:uiPriority w:val="99"/>
    <w:semiHidden/>
    <w:locked/>
    <w:rsid w:val="000156B7"/>
    <w:rPr>
      <w:rFonts w:ascii="Cambria" w:eastAsia="SimSun" w:hAnsi="Cambria" w:cs="Cambria"/>
      <w:b/>
      <w:bCs/>
      <w:i/>
      <w:iCs/>
      <w:color w:val="0000FF"/>
      <w:sz w:val="28"/>
      <w:szCs w:val="28"/>
    </w:rPr>
  </w:style>
  <w:style w:type="paragraph" w:styleId="Title">
    <w:name w:val="Title"/>
    <w:basedOn w:val="Normal"/>
    <w:link w:val="TitleChar"/>
    <w:qFormat/>
    <w:rsid w:val="006500F1"/>
    <w:pPr>
      <w:tabs>
        <w:tab w:val="left" w:pos="360"/>
      </w:tabs>
      <w:ind w:firstLine="630"/>
      <w:jc w:val="center"/>
    </w:pPr>
    <w:rPr>
      <w:sz w:val="24"/>
      <w:szCs w:val="24"/>
    </w:rPr>
  </w:style>
  <w:style w:type="character" w:customStyle="1" w:styleId="TitleChar">
    <w:name w:val="Title Char"/>
    <w:basedOn w:val="DefaultParagraphFont"/>
    <w:link w:val="Title"/>
    <w:uiPriority w:val="99"/>
    <w:locked/>
    <w:rsid w:val="000156B7"/>
    <w:rPr>
      <w:rFonts w:ascii="Cambria" w:eastAsia="SimSun" w:hAnsi="Cambria" w:cs="Cambria"/>
      <w:b/>
      <w:bCs/>
      <w:color w:val="0000FF"/>
      <w:kern w:val="28"/>
      <w:sz w:val="32"/>
      <w:szCs w:val="32"/>
    </w:rPr>
  </w:style>
  <w:style w:type="paragraph" w:styleId="Header">
    <w:name w:val="header"/>
    <w:basedOn w:val="Normal"/>
    <w:link w:val="HeaderChar"/>
    <w:uiPriority w:val="99"/>
    <w:rsid w:val="006500F1"/>
    <w:pPr>
      <w:tabs>
        <w:tab w:val="center" w:pos="4320"/>
        <w:tab w:val="right" w:pos="8640"/>
      </w:tabs>
    </w:pPr>
  </w:style>
  <w:style w:type="character" w:customStyle="1" w:styleId="HeaderChar">
    <w:name w:val="Header Char"/>
    <w:basedOn w:val="DefaultParagraphFont"/>
    <w:link w:val="Header"/>
    <w:uiPriority w:val="99"/>
    <w:semiHidden/>
    <w:locked/>
    <w:rsid w:val="000156B7"/>
    <w:rPr>
      <w:color w:val="0000FF"/>
      <w:sz w:val="20"/>
      <w:szCs w:val="20"/>
    </w:rPr>
  </w:style>
  <w:style w:type="paragraph" w:styleId="Footer">
    <w:name w:val="footer"/>
    <w:basedOn w:val="Normal"/>
    <w:link w:val="FooterChar"/>
    <w:uiPriority w:val="99"/>
    <w:rsid w:val="006500F1"/>
    <w:pPr>
      <w:tabs>
        <w:tab w:val="center" w:pos="4320"/>
        <w:tab w:val="right" w:pos="8640"/>
      </w:tabs>
    </w:pPr>
  </w:style>
  <w:style w:type="character" w:customStyle="1" w:styleId="FooterChar">
    <w:name w:val="Footer Char"/>
    <w:basedOn w:val="DefaultParagraphFont"/>
    <w:link w:val="Footer"/>
    <w:uiPriority w:val="99"/>
    <w:semiHidden/>
    <w:locked/>
    <w:rsid w:val="000156B7"/>
    <w:rPr>
      <w:color w:val="0000FF"/>
      <w:sz w:val="20"/>
      <w:szCs w:val="20"/>
    </w:rPr>
  </w:style>
  <w:style w:type="character" w:styleId="PageNumber">
    <w:name w:val="page number"/>
    <w:basedOn w:val="DefaultParagraphFont"/>
    <w:uiPriority w:val="99"/>
    <w:rsid w:val="006500F1"/>
  </w:style>
  <w:style w:type="paragraph" w:styleId="BodyTextIndent">
    <w:name w:val="Body Text Indent"/>
    <w:basedOn w:val="Normal"/>
    <w:link w:val="BodyTextIndentChar"/>
    <w:uiPriority w:val="99"/>
    <w:rsid w:val="006500F1"/>
    <w:pPr>
      <w:ind w:left="720"/>
      <w:jc w:val="both"/>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0156B7"/>
    <w:rPr>
      <w:color w:val="0000FF"/>
      <w:sz w:val="20"/>
      <w:szCs w:val="20"/>
    </w:rPr>
  </w:style>
  <w:style w:type="paragraph" w:styleId="BodyText">
    <w:name w:val="Body Text"/>
    <w:basedOn w:val="Normal"/>
    <w:link w:val="BodyTextChar"/>
    <w:uiPriority w:val="99"/>
    <w:rsid w:val="006500F1"/>
    <w:rPr>
      <w:rFonts w:ascii="Arial Narrow" w:hAnsi="Arial Narrow" w:cs="Arial Narrow"/>
      <w:color w:val="000000"/>
      <w:sz w:val="24"/>
      <w:szCs w:val="24"/>
    </w:rPr>
  </w:style>
  <w:style w:type="character" w:customStyle="1" w:styleId="BodyTextChar">
    <w:name w:val="Body Text Char"/>
    <w:basedOn w:val="DefaultParagraphFont"/>
    <w:link w:val="BodyText"/>
    <w:uiPriority w:val="99"/>
    <w:semiHidden/>
    <w:locked/>
    <w:rsid w:val="000156B7"/>
    <w:rPr>
      <w:color w:val="0000FF"/>
      <w:sz w:val="20"/>
      <w:szCs w:val="20"/>
    </w:rPr>
  </w:style>
  <w:style w:type="paragraph" w:styleId="BodyTextIndent2">
    <w:name w:val="Body Text Indent 2"/>
    <w:basedOn w:val="Normal"/>
    <w:link w:val="BodyTextIndent2Char"/>
    <w:uiPriority w:val="99"/>
    <w:rsid w:val="006500F1"/>
    <w:pPr>
      <w:ind w:left="-18"/>
    </w:pPr>
    <w:rPr>
      <w:rFonts w:ascii="Arial Narrow" w:hAnsi="Arial Narrow" w:cs="Arial Narrow"/>
      <w:color w:val="000000"/>
      <w:sz w:val="24"/>
      <w:szCs w:val="24"/>
    </w:rPr>
  </w:style>
  <w:style w:type="character" w:customStyle="1" w:styleId="BodyTextIndent2Char">
    <w:name w:val="Body Text Indent 2 Char"/>
    <w:basedOn w:val="DefaultParagraphFont"/>
    <w:link w:val="BodyTextIndent2"/>
    <w:uiPriority w:val="99"/>
    <w:semiHidden/>
    <w:locked/>
    <w:rsid w:val="000156B7"/>
    <w:rPr>
      <w:color w:val="0000FF"/>
      <w:sz w:val="20"/>
      <w:szCs w:val="20"/>
    </w:rPr>
  </w:style>
  <w:style w:type="paragraph" w:styleId="BalloonText">
    <w:name w:val="Balloon Text"/>
    <w:basedOn w:val="Normal"/>
    <w:link w:val="BalloonTextChar"/>
    <w:uiPriority w:val="99"/>
    <w:semiHidden/>
    <w:rsid w:val="009001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6B7"/>
    <w:rPr>
      <w:color w:val="0000FF"/>
      <w:sz w:val="2"/>
      <w:szCs w:val="2"/>
    </w:rPr>
  </w:style>
  <w:style w:type="paragraph" w:styleId="DocumentMap">
    <w:name w:val="Document Map"/>
    <w:basedOn w:val="Normal"/>
    <w:link w:val="DocumentMapChar"/>
    <w:uiPriority w:val="99"/>
    <w:semiHidden/>
    <w:rsid w:val="00D6041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156B7"/>
    <w:rPr>
      <w:color w:val="0000FF"/>
      <w:sz w:val="2"/>
      <w:szCs w:val="2"/>
    </w:rPr>
  </w:style>
  <w:style w:type="character" w:styleId="Hyperlink">
    <w:name w:val="Hyperlink"/>
    <w:basedOn w:val="DefaultParagraphFont"/>
    <w:uiPriority w:val="99"/>
    <w:rsid w:val="00F66A85"/>
    <w:rPr>
      <w:color w:val="0000FF"/>
      <w:u w:val="single"/>
    </w:rPr>
  </w:style>
  <w:style w:type="table" w:styleId="TableGrid">
    <w:name w:val="Table Grid"/>
    <w:basedOn w:val="TableNormal"/>
    <w:uiPriority w:val="99"/>
    <w:rsid w:val="000B772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F9D"/>
    <w:pPr>
      <w:ind w:left="720"/>
    </w:pPr>
  </w:style>
  <w:style w:type="paragraph" w:styleId="NormalWeb">
    <w:name w:val="Normal (Web)"/>
    <w:basedOn w:val="Normal"/>
    <w:uiPriority w:val="99"/>
    <w:unhideWhenUsed/>
    <w:rsid w:val="00E672A0"/>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9A22E6"/>
    <w:rPr>
      <w:color w:val="800080" w:themeColor="followedHyperlink"/>
      <w:u w:val="single"/>
    </w:rPr>
  </w:style>
  <w:style w:type="paragraph" w:styleId="FootnoteText">
    <w:name w:val="footnote text"/>
    <w:basedOn w:val="Normal"/>
    <w:link w:val="FootnoteTextChar"/>
    <w:uiPriority w:val="99"/>
    <w:semiHidden/>
    <w:unhideWhenUsed/>
    <w:rsid w:val="00DB46BB"/>
    <w:rPr>
      <w:rFonts w:ascii="Calibri" w:eastAsiaTheme="minorHAnsi" w:hAnsi="Calibri" w:cs="Calibri"/>
      <w:color w:val="auto"/>
    </w:rPr>
  </w:style>
  <w:style w:type="character" w:customStyle="1" w:styleId="FootnoteTextChar">
    <w:name w:val="Footnote Text Char"/>
    <w:basedOn w:val="DefaultParagraphFont"/>
    <w:link w:val="FootnoteText"/>
    <w:uiPriority w:val="99"/>
    <w:semiHidden/>
    <w:rsid w:val="00DB46BB"/>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DB4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5552">
      <w:bodyDiv w:val="1"/>
      <w:marLeft w:val="0"/>
      <w:marRight w:val="0"/>
      <w:marTop w:val="0"/>
      <w:marBottom w:val="0"/>
      <w:divBdr>
        <w:top w:val="none" w:sz="0" w:space="0" w:color="auto"/>
        <w:left w:val="none" w:sz="0" w:space="0" w:color="auto"/>
        <w:bottom w:val="none" w:sz="0" w:space="0" w:color="auto"/>
        <w:right w:val="none" w:sz="0" w:space="0" w:color="auto"/>
      </w:divBdr>
    </w:div>
    <w:div w:id="298807207">
      <w:bodyDiv w:val="1"/>
      <w:marLeft w:val="0"/>
      <w:marRight w:val="0"/>
      <w:marTop w:val="0"/>
      <w:marBottom w:val="0"/>
      <w:divBdr>
        <w:top w:val="none" w:sz="0" w:space="0" w:color="auto"/>
        <w:left w:val="none" w:sz="0" w:space="0" w:color="auto"/>
        <w:bottom w:val="none" w:sz="0" w:space="0" w:color="auto"/>
        <w:right w:val="none" w:sz="0" w:space="0" w:color="auto"/>
      </w:divBdr>
    </w:div>
    <w:div w:id="431365462">
      <w:bodyDiv w:val="1"/>
      <w:marLeft w:val="0"/>
      <w:marRight w:val="0"/>
      <w:marTop w:val="0"/>
      <w:marBottom w:val="0"/>
      <w:divBdr>
        <w:top w:val="none" w:sz="0" w:space="0" w:color="auto"/>
        <w:left w:val="none" w:sz="0" w:space="0" w:color="auto"/>
        <w:bottom w:val="none" w:sz="0" w:space="0" w:color="auto"/>
        <w:right w:val="none" w:sz="0" w:space="0" w:color="auto"/>
      </w:divBdr>
    </w:div>
    <w:div w:id="552229529">
      <w:bodyDiv w:val="1"/>
      <w:marLeft w:val="0"/>
      <w:marRight w:val="0"/>
      <w:marTop w:val="0"/>
      <w:marBottom w:val="0"/>
      <w:divBdr>
        <w:top w:val="none" w:sz="0" w:space="0" w:color="auto"/>
        <w:left w:val="none" w:sz="0" w:space="0" w:color="auto"/>
        <w:bottom w:val="none" w:sz="0" w:space="0" w:color="auto"/>
        <w:right w:val="none" w:sz="0" w:space="0" w:color="auto"/>
      </w:divBdr>
    </w:div>
    <w:div w:id="683482582">
      <w:bodyDiv w:val="1"/>
      <w:marLeft w:val="0"/>
      <w:marRight w:val="0"/>
      <w:marTop w:val="0"/>
      <w:marBottom w:val="0"/>
      <w:divBdr>
        <w:top w:val="none" w:sz="0" w:space="0" w:color="auto"/>
        <w:left w:val="none" w:sz="0" w:space="0" w:color="auto"/>
        <w:bottom w:val="none" w:sz="0" w:space="0" w:color="auto"/>
        <w:right w:val="none" w:sz="0" w:space="0" w:color="auto"/>
      </w:divBdr>
    </w:div>
    <w:div w:id="724764016">
      <w:bodyDiv w:val="1"/>
      <w:marLeft w:val="0"/>
      <w:marRight w:val="0"/>
      <w:marTop w:val="0"/>
      <w:marBottom w:val="0"/>
      <w:divBdr>
        <w:top w:val="none" w:sz="0" w:space="0" w:color="auto"/>
        <w:left w:val="none" w:sz="0" w:space="0" w:color="auto"/>
        <w:bottom w:val="none" w:sz="0" w:space="0" w:color="auto"/>
        <w:right w:val="none" w:sz="0" w:space="0" w:color="auto"/>
      </w:divBdr>
    </w:div>
    <w:div w:id="981232532">
      <w:bodyDiv w:val="1"/>
      <w:marLeft w:val="0"/>
      <w:marRight w:val="0"/>
      <w:marTop w:val="0"/>
      <w:marBottom w:val="0"/>
      <w:divBdr>
        <w:top w:val="none" w:sz="0" w:space="0" w:color="auto"/>
        <w:left w:val="none" w:sz="0" w:space="0" w:color="auto"/>
        <w:bottom w:val="none" w:sz="0" w:space="0" w:color="auto"/>
        <w:right w:val="none" w:sz="0" w:space="0" w:color="auto"/>
      </w:divBdr>
    </w:div>
    <w:div w:id="1176651484">
      <w:bodyDiv w:val="1"/>
      <w:marLeft w:val="0"/>
      <w:marRight w:val="0"/>
      <w:marTop w:val="0"/>
      <w:marBottom w:val="0"/>
      <w:divBdr>
        <w:top w:val="none" w:sz="0" w:space="0" w:color="auto"/>
        <w:left w:val="none" w:sz="0" w:space="0" w:color="auto"/>
        <w:bottom w:val="none" w:sz="0" w:space="0" w:color="auto"/>
        <w:right w:val="none" w:sz="0" w:space="0" w:color="auto"/>
      </w:divBdr>
    </w:div>
    <w:div w:id="1239948370">
      <w:bodyDiv w:val="1"/>
      <w:marLeft w:val="0"/>
      <w:marRight w:val="0"/>
      <w:marTop w:val="0"/>
      <w:marBottom w:val="0"/>
      <w:divBdr>
        <w:top w:val="none" w:sz="0" w:space="0" w:color="auto"/>
        <w:left w:val="none" w:sz="0" w:space="0" w:color="auto"/>
        <w:bottom w:val="none" w:sz="0" w:space="0" w:color="auto"/>
        <w:right w:val="none" w:sz="0" w:space="0" w:color="auto"/>
      </w:divBdr>
      <w:divsChild>
        <w:div w:id="2016764216">
          <w:marLeft w:val="0"/>
          <w:marRight w:val="0"/>
          <w:marTop w:val="0"/>
          <w:marBottom w:val="0"/>
          <w:divBdr>
            <w:top w:val="none" w:sz="0" w:space="0" w:color="auto"/>
            <w:left w:val="none" w:sz="0" w:space="0" w:color="auto"/>
            <w:bottom w:val="none" w:sz="0" w:space="0" w:color="auto"/>
            <w:right w:val="none" w:sz="0" w:space="0" w:color="auto"/>
          </w:divBdr>
        </w:div>
      </w:divsChild>
    </w:div>
    <w:div w:id="1535540680">
      <w:bodyDiv w:val="1"/>
      <w:marLeft w:val="0"/>
      <w:marRight w:val="0"/>
      <w:marTop w:val="0"/>
      <w:marBottom w:val="0"/>
      <w:divBdr>
        <w:top w:val="none" w:sz="0" w:space="0" w:color="auto"/>
        <w:left w:val="none" w:sz="0" w:space="0" w:color="auto"/>
        <w:bottom w:val="none" w:sz="0" w:space="0" w:color="auto"/>
        <w:right w:val="none" w:sz="0" w:space="0" w:color="auto"/>
      </w:divBdr>
    </w:div>
    <w:div w:id="1551766226">
      <w:bodyDiv w:val="1"/>
      <w:marLeft w:val="0"/>
      <w:marRight w:val="0"/>
      <w:marTop w:val="0"/>
      <w:marBottom w:val="0"/>
      <w:divBdr>
        <w:top w:val="none" w:sz="0" w:space="0" w:color="auto"/>
        <w:left w:val="none" w:sz="0" w:space="0" w:color="auto"/>
        <w:bottom w:val="none" w:sz="0" w:space="0" w:color="auto"/>
        <w:right w:val="none" w:sz="0" w:space="0" w:color="auto"/>
      </w:divBdr>
    </w:div>
    <w:div w:id="1874876355">
      <w:bodyDiv w:val="1"/>
      <w:marLeft w:val="0"/>
      <w:marRight w:val="0"/>
      <w:marTop w:val="0"/>
      <w:marBottom w:val="0"/>
      <w:divBdr>
        <w:top w:val="none" w:sz="0" w:space="0" w:color="auto"/>
        <w:left w:val="none" w:sz="0" w:space="0" w:color="auto"/>
        <w:bottom w:val="none" w:sz="0" w:space="0" w:color="auto"/>
        <w:right w:val="none" w:sz="0" w:space="0" w:color="auto"/>
      </w:divBdr>
    </w:div>
    <w:div w:id="1921214355">
      <w:bodyDiv w:val="1"/>
      <w:marLeft w:val="0"/>
      <w:marRight w:val="0"/>
      <w:marTop w:val="0"/>
      <w:marBottom w:val="0"/>
      <w:divBdr>
        <w:top w:val="none" w:sz="0" w:space="0" w:color="auto"/>
        <w:left w:val="none" w:sz="0" w:space="0" w:color="auto"/>
        <w:bottom w:val="none" w:sz="0" w:space="0" w:color="auto"/>
        <w:right w:val="none" w:sz="0" w:space="0" w:color="auto"/>
      </w:divBdr>
    </w:div>
    <w:div w:id="2033021628">
      <w:bodyDiv w:val="1"/>
      <w:marLeft w:val="0"/>
      <w:marRight w:val="0"/>
      <w:marTop w:val="0"/>
      <w:marBottom w:val="0"/>
      <w:divBdr>
        <w:top w:val="none" w:sz="0" w:space="0" w:color="auto"/>
        <w:left w:val="none" w:sz="0" w:space="0" w:color="auto"/>
        <w:bottom w:val="none" w:sz="0" w:space="0" w:color="auto"/>
        <w:right w:val="none" w:sz="0" w:space="0" w:color="auto"/>
      </w:divBdr>
    </w:div>
    <w:div w:id="2040473667">
      <w:bodyDiv w:val="1"/>
      <w:marLeft w:val="0"/>
      <w:marRight w:val="0"/>
      <w:marTop w:val="0"/>
      <w:marBottom w:val="0"/>
      <w:divBdr>
        <w:top w:val="none" w:sz="0" w:space="0" w:color="auto"/>
        <w:left w:val="none" w:sz="0" w:space="0" w:color="auto"/>
        <w:bottom w:val="none" w:sz="0" w:space="0" w:color="auto"/>
        <w:right w:val="none" w:sz="0" w:space="0" w:color="auto"/>
      </w:divBdr>
    </w:div>
    <w:div w:id="2064253810">
      <w:bodyDiv w:val="1"/>
      <w:marLeft w:val="0"/>
      <w:marRight w:val="0"/>
      <w:marTop w:val="0"/>
      <w:marBottom w:val="0"/>
      <w:divBdr>
        <w:top w:val="none" w:sz="0" w:space="0" w:color="auto"/>
        <w:left w:val="none" w:sz="0" w:space="0" w:color="auto"/>
        <w:bottom w:val="none" w:sz="0" w:space="0" w:color="auto"/>
        <w:right w:val="none" w:sz="0" w:space="0" w:color="auto"/>
      </w:divBdr>
    </w:div>
    <w:div w:id="2144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law.lis.virginia.gov/vacode/title23.1/chapter2/section23.1-206/"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law.lis.virginia.gov/vacode/title23.1/chapter2/section23.1-20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budget.lis.virginia.gov/item/2017/1/HB1500/Chapter/4/4-9.01/" TargetMode="External"/><Relationship Id="rId25" Type="http://schemas.openxmlformats.org/officeDocument/2006/relationships/image" Target="media/image6.emf"/><Relationship Id="rId33" Type="http://schemas.openxmlformats.org/officeDocument/2006/relationships/image" Target="media/image13.tiff"/><Relationship Id="rId2" Type="http://schemas.openxmlformats.org/officeDocument/2006/relationships/numbering" Target="numbering.xml"/><Relationship Id="rId16" Type="http://schemas.openxmlformats.org/officeDocument/2006/relationships/hyperlink" Target="https://law.lis.virginia.gov/vacode/title23.1/chapter10/section23.1-1002/" TargetMode="External"/><Relationship Id="rId20" Type="http://schemas.openxmlformats.org/officeDocument/2006/relationships/hyperlink" Target="https://law.lis.virginia.gov/vacode/title23.1/chapter10/section23.1-1002/" TargetMode="External"/><Relationship Id="rId29" Type="http://schemas.openxmlformats.org/officeDocument/2006/relationships/hyperlink" Target="https://upload.wikimedia.org/wikipedia/commons/1/1c/Longwood_University_logo.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s://budget.lis.virginia.gov/item/2017/1/HB1500/Chapter/4/4-9.01/" TargetMode="External"/><Relationship Id="rId23" Type="http://schemas.openxmlformats.org/officeDocument/2006/relationships/image" Target="media/image5.emf"/><Relationship Id="rId28" Type="http://schemas.openxmlformats.org/officeDocument/2006/relationships/image" Target="media/image9.emf"/><Relationship Id="rId10" Type="http://schemas.openxmlformats.org/officeDocument/2006/relationships/hyperlink" Target="https://budget.lis.virginia.gov/item/2017/1/HB1500/Chapter/4/4-9.01/" TargetMode="External"/><Relationship Id="rId19" Type="http://schemas.openxmlformats.org/officeDocument/2006/relationships/hyperlink" Target="https://law.lis.virginia.gov/vacode/title23.1/chapter10/section23.1-1002/" TargetMode="External"/><Relationship Id="rId31"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hyperlink" Target="mailto:JeanMottley@schev.edu" TargetMode="External"/><Relationship Id="rId14" Type="http://schemas.openxmlformats.org/officeDocument/2006/relationships/image" Target="media/image4.emf"/><Relationship Id="rId22" Type="http://schemas.openxmlformats.org/officeDocument/2006/relationships/hyperlink" Target="https://law.lis.virginia.gov/vacode/title2.2/chapter43/section2.2-4303/" TargetMode="External"/><Relationship Id="rId27" Type="http://schemas.openxmlformats.org/officeDocument/2006/relationships/image" Target="media/image8.emf"/><Relationship Id="rId30" Type="http://schemas.openxmlformats.org/officeDocument/2006/relationships/image" Target="media/image10.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search.yahoo.com/_ylt=A0geK.EOdn9bYYEA5H9XNyoA;_ylu=X3oDMTByOHZyb21tBGNvbG8DYmYxBHBvcwMxBHZ0aWQDBHNlYwNzcg--/RV=2/RE=1535108750/RO=10/RU=http%3a%2f%2fwww.schev.edu%2fdocs%2fdefault-source%2finstitution-section%2finstitutional-performance-standards%2fdefinitions-and-data-sources-for-six-general-education-measures.xlsx/RK=2/RS=Ixdwo.lszXBf5aW8nj0xvKlj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AD0D-02E5-4920-83BF-2E16C9F8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7522</Words>
  <Characters>42879</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Planning Committee</vt:lpstr>
    </vt:vector>
  </TitlesOfParts>
  <Company>Council of Higher Education</Company>
  <LinksUpToDate>false</LinksUpToDate>
  <CharactersWithSpaces>50301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Committee</dc:title>
  <dc:creator>LeeAnnRung</dc:creator>
  <cp:lastModifiedBy>Mottley, Jean (SCHEV)</cp:lastModifiedBy>
  <cp:revision>2</cp:revision>
  <cp:lastPrinted>2018-09-06T13:43:00Z</cp:lastPrinted>
  <dcterms:created xsi:type="dcterms:W3CDTF">2018-10-01T18:26:00Z</dcterms:created>
  <dcterms:modified xsi:type="dcterms:W3CDTF">2018-10-01T18:26:00Z</dcterms:modified>
</cp:coreProperties>
</file>